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D2" w:rsidRDefault="00C90FD2" w:rsidP="00A36EFB">
      <w:pPr>
        <w:jc w:val="both"/>
        <w:rPr>
          <w:b/>
        </w:rPr>
      </w:pPr>
    </w:p>
    <w:p w:rsidR="00B759D7" w:rsidRPr="006D2B7B" w:rsidRDefault="00B759D7" w:rsidP="00A36EFB">
      <w:pPr>
        <w:jc w:val="both"/>
        <w:rPr>
          <w:b/>
          <w:sz w:val="28"/>
          <w:szCs w:val="28"/>
        </w:rPr>
      </w:pPr>
      <w:r w:rsidRPr="006D2B7B">
        <w:rPr>
          <w:b/>
          <w:sz w:val="28"/>
          <w:szCs w:val="28"/>
        </w:rPr>
        <w:t xml:space="preserve">Cuestionario </w:t>
      </w:r>
      <w:r w:rsidR="001A4C8E">
        <w:rPr>
          <w:b/>
          <w:sz w:val="28"/>
          <w:szCs w:val="28"/>
        </w:rPr>
        <w:t xml:space="preserve">para discusiones del tema 3 de la VIII Reunión </w:t>
      </w:r>
      <w:r w:rsidR="006D2B7B" w:rsidRPr="006D2B7B">
        <w:rPr>
          <w:b/>
          <w:sz w:val="28"/>
          <w:szCs w:val="28"/>
        </w:rPr>
        <w:t>LATIPAT</w:t>
      </w:r>
      <w:r w:rsidR="006D2B7B">
        <w:rPr>
          <w:b/>
          <w:sz w:val="28"/>
          <w:szCs w:val="28"/>
        </w:rPr>
        <w:t>.</w:t>
      </w:r>
    </w:p>
    <w:p w:rsidR="004446CC" w:rsidRDefault="004446CC">
      <w:pPr>
        <w:rPr>
          <w:b/>
        </w:rPr>
      </w:pPr>
    </w:p>
    <w:p w:rsidR="004446CC" w:rsidRDefault="004446CC">
      <w:pPr>
        <w:rPr>
          <w:b/>
        </w:rPr>
      </w:pPr>
    </w:p>
    <w:p w:rsidR="004446CC" w:rsidRPr="00654D44" w:rsidRDefault="00717054" w:rsidP="00654D44">
      <w:pPr>
        <w:pStyle w:val="Prrafodelista"/>
        <w:numPr>
          <w:ilvl w:val="0"/>
          <w:numId w:val="8"/>
        </w:numPr>
        <w:rPr>
          <w:rFonts w:ascii="Arial" w:hAnsi="Arial" w:cs="Arial"/>
          <w:szCs w:val="20"/>
        </w:rPr>
      </w:pPr>
      <w:r w:rsidRPr="00654D44">
        <w:rPr>
          <w:rFonts w:ascii="Arial" w:hAnsi="Arial" w:cs="Arial"/>
          <w:szCs w:val="20"/>
        </w:rPr>
        <w:t>C</w:t>
      </w:r>
      <w:r w:rsidR="004446CC" w:rsidRPr="00654D44">
        <w:rPr>
          <w:rFonts w:ascii="Arial" w:hAnsi="Arial" w:cs="Arial"/>
          <w:szCs w:val="20"/>
        </w:rPr>
        <w:t>olecciones existentes.</w:t>
      </w:r>
    </w:p>
    <w:p w:rsidR="004446CC" w:rsidRPr="00610AD5" w:rsidRDefault="004446CC" w:rsidP="00610AD5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543" w:type="dxa"/>
        <w:jc w:val="center"/>
        <w:tblInd w:w="-1126" w:type="dxa"/>
        <w:tblLook w:val="04A0"/>
      </w:tblPr>
      <w:tblGrid>
        <w:gridCol w:w="1089"/>
        <w:gridCol w:w="1528"/>
        <w:gridCol w:w="1537"/>
        <w:gridCol w:w="1516"/>
        <w:gridCol w:w="1496"/>
        <w:gridCol w:w="1377"/>
      </w:tblGrid>
      <w:tr w:rsidR="00E67F6F" w:rsidRPr="00610AD5" w:rsidTr="00E67F6F">
        <w:trPr>
          <w:trHeight w:val="1644"/>
          <w:jc w:val="center"/>
        </w:trPr>
        <w:tc>
          <w:tcPr>
            <w:tcW w:w="1089" w:type="dxa"/>
            <w:shd w:val="clear" w:color="auto" w:fill="DDD9C3" w:themeFill="background2" w:themeFillShade="E6"/>
            <w:vAlign w:val="center"/>
          </w:tcPr>
          <w:p w:rsidR="00E67F6F" w:rsidRPr="00654D44" w:rsidRDefault="00E67F6F" w:rsidP="00654D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4D44">
              <w:rPr>
                <w:rFonts w:ascii="Arial" w:hAnsi="Arial" w:cs="Arial"/>
                <w:b/>
                <w:sz w:val="18"/>
                <w:szCs w:val="18"/>
              </w:rPr>
              <w:t>Tipo</w:t>
            </w:r>
          </w:p>
        </w:tc>
        <w:tc>
          <w:tcPr>
            <w:tcW w:w="1528" w:type="dxa"/>
            <w:shd w:val="clear" w:color="auto" w:fill="F2DBDB" w:themeFill="accent2" w:themeFillTint="33"/>
            <w:vAlign w:val="center"/>
          </w:tcPr>
          <w:p w:rsidR="00E67F6F" w:rsidRPr="00791024" w:rsidRDefault="00E67F6F" w:rsidP="00654D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024">
              <w:rPr>
                <w:rFonts w:ascii="Arial" w:hAnsi="Arial" w:cs="Arial"/>
                <w:sz w:val="18"/>
                <w:szCs w:val="18"/>
              </w:rPr>
              <w:t>Volumen de Datos Totales</w:t>
            </w:r>
            <w:r>
              <w:rPr>
                <w:rFonts w:ascii="Arial" w:hAnsi="Arial" w:cs="Arial"/>
                <w:sz w:val="18"/>
                <w:szCs w:val="18"/>
              </w:rPr>
              <w:t xml:space="preserve">, incluye lo que pueda estar en libros de entrada también </w:t>
            </w:r>
            <w:r w:rsidRPr="007910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1024">
              <w:rPr>
                <w:rFonts w:ascii="Arial" w:hAnsi="Arial" w:cs="Arial"/>
                <w:b/>
                <w:sz w:val="18"/>
                <w:szCs w:val="18"/>
              </w:rPr>
              <w:t>(solicitudes)</w:t>
            </w:r>
          </w:p>
        </w:tc>
        <w:tc>
          <w:tcPr>
            <w:tcW w:w="1537" w:type="dxa"/>
            <w:shd w:val="clear" w:color="auto" w:fill="EAF1DD" w:themeFill="accent3" w:themeFillTint="33"/>
            <w:vAlign w:val="center"/>
          </w:tcPr>
          <w:p w:rsidR="00E67F6F" w:rsidRPr="00791024" w:rsidRDefault="00E67F6F" w:rsidP="00654D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024">
              <w:rPr>
                <w:rFonts w:ascii="Arial" w:hAnsi="Arial" w:cs="Arial"/>
                <w:sz w:val="18"/>
                <w:szCs w:val="18"/>
              </w:rPr>
              <w:t xml:space="preserve">Volumen de datos Bibliográficos en Base de Datos Nacional </w:t>
            </w:r>
            <w:r w:rsidRPr="00791024">
              <w:rPr>
                <w:rFonts w:ascii="Arial" w:hAnsi="Arial" w:cs="Arial"/>
                <w:b/>
                <w:sz w:val="18"/>
                <w:szCs w:val="18"/>
              </w:rPr>
              <w:t>(solicitudes)</w:t>
            </w: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00E67F6F" w:rsidRPr="00791024" w:rsidRDefault="00E67F6F" w:rsidP="00DC7C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024">
              <w:rPr>
                <w:rFonts w:ascii="Arial" w:hAnsi="Arial" w:cs="Arial"/>
                <w:sz w:val="18"/>
                <w:szCs w:val="18"/>
              </w:rPr>
              <w:t xml:space="preserve">Volumen de Documentos Nacionales </w:t>
            </w:r>
            <w:r>
              <w:rPr>
                <w:rFonts w:ascii="Arial" w:hAnsi="Arial" w:cs="Arial"/>
                <w:sz w:val="18"/>
                <w:szCs w:val="18"/>
              </w:rPr>
              <w:t>publicados que están d</w:t>
            </w:r>
            <w:r w:rsidRPr="00791024">
              <w:rPr>
                <w:rFonts w:ascii="Arial" w:hAnsi="Arial" w:cs="Arial"/>
                <w:sz w:val="18"/>
                <w:szCs w:val="18"/>
              </w:rPr>
              <w:t xml:space="preserve">igitalizados </w:t>
            </w:r>
          </w:p>
        </w:tc>
        <w:tc>
          <w:tcPr>
            <w:tcW w:w="1496" w:type="dxa"/>
            <w:shd w:val="clear" w:color="auto" w:fill="DBE5F1" w:themeFill="accent1" w:themeFillTint="33"/>
            <w:vAlign w:val="center"/>
          </w:tcPr>
          <w:p w:rsidR="00E67F6F" w:rsidRPr="00791024" w:rsidRDefault="00E67F6F" w:rsidP="00DC7C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024">
              <w:rPr>
                <w:rFonts w:ascii="Arial" w:hAnsi="Arial" w:cs="Arial"/>
                <w:sz w:val="18"/>
                <w:szCs w:val="18"/>
              </w:rPr>
              <w:t xml:space="preserve">Volumen de Documentos Nacionales </w:t>
            </w:r>
            <w:r>
              <w:rPr>
                <w:rFonts w:ascii="Arial" w:hAnsi="Arial" w:cs="Arial"/>
                <w:sz w:val="18"/>
                <w:szCs w:val="18"/>
              </w:rPr>
              <w:t>publicados que están sin digitalizar (papel)</w:t>
            </w:r>
          </w:p>
        </w:tc>
        <w:tc>
          <w:tcPr>
            <w:tcW w:w="1377" w:type="dxa"/>
            <w:shd w:val="clear" w:color="auto" w:fill="FDE9D9" w:themeFill="accent6" w:themeFillTint="33"/>
            <w:vAlign w:val="center"/>
          </w:tcPr>
          <w:p w:rsidR="00E67F6F" w:rsidRPr="00791024" w:rsidRDefault="00E67F6F" w:rsidP="00654D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Indicar códigos de publicación empleados  (ST16 o equivalentes)</w:t>
            </w:r>
          </w:p>
        </w:tc>
      </w:tr>
      <w:tr w:rsidR="00E67F6F" w:rsidRPr="00610AD5" w:rsidTr="006F3242">
        <w:trPr>
          <w:trHeight w:val="615"/>
          <w:jc w:val="center"/>
        </w:trPr>
        <w:tc>
          <w:tcPr>
            <w:tcW w:w="1089" w:type="dxa"/>
            <w:vAlign w:val="center"/>
          </w:tcPr>
          <w:p w:rsidR="00E67F6F" w:rsidRPr="00791024" w:rsidRDefault="00E67F6F" w:rsidP="00654D44">
            <w:pPr>
              <w:rPr>
                <w:rFonts w:ascii="Arial" w:hAnsi="Arial" w:cs="Arial"/>
                <w:sz w:val="18"/>
                <w:szCs w:val="18"/>
              </w:rPr>
            </w:pPr>
            <w:r w:rsidRPr="00791024">
              <w:rPr>
                <w:rFonts w:ascii="Arial" w:hAnsi="Arial" w:cs="Arial"/>
                <w:sz w:val="18"/>
                <w:szCs w:val="18"/>
              </w:rPr>
              <w:t>Patente</w:t>
            </w:r>
          </w:p>
        </w:tc>
        <w:tc>
          <w:tcPr>
            <w:tcW w:w="1528" w:type="dxa"/>
          </w:tcPr>
          <w:p w:rsidR="00E67F6F" w:rsidRPr="00791024" w:rsidRDefault="00E67F6F" w:rsidP="0061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:rsidR="00E67F6F" w:rsidRPr="00791024" w:rsidRDefault="003B7A2D" w:rsidP="006F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A2D">
              <w:rPr>
                <w:rFonts w:ascii="Arial" w:hAnsi="Arial" w:cs="Arial"/>
                <w:sz w:val="18"/>
                <w:szCs w:val="18"/>
              </w:rPr>
              <w:t>782442</w:t>
            </w:r>
          </w:p>
        </w:tc>
        <w:tc>
          <w:tcPr>
            <w:tcW w:w="1516" w:type="dxa"/>
            <w:vAlign w:val="center"/>
          </w:tcPr>
          <w:p w:rsidR="00E67F6F" w:rsidRPr="00791024" w:rsidRDefault="003B7A2D" w:rsidP="006F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A2D">
              <w:rPr>
                <w:rFonts w:ascii="Arial" w:hAnsi="Arial" w:cs="Arial"/>
                <w:sz w:val="18"/>
                <w:szCs w:val="18"/>
              </w:rPr>
              <w:t>1159724</w:t>
            </w:r>
          </w:p>
        </w:tc>
        <w:tc>
          <w:tcPr>
            <w:tcW w:w="1496" w:type="dxa"/>
            <w:vAlign w:val="center"/>
          </w:tcPr>
          <w:p w:rsidR="00E67F6F" w:rsidRPr="00791024" w:rsidRDefault="006F3242" w:rsidP="006F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242">
              <w:rPr>
                <w:rFonts w:ascii="Arial" w:hAnsi="Arial" w:cs="Arial"/>
                <w:sz w:val="18"/>
                <w:szCs w:val="18"/>
              </w:rPr>
              <w:t>67853</w:t>
            </w:r>
          </w:p>
        </w:tc>
        <w:tc>
          <w:tcPr>
            <w:tcW w:w="1377" w:type="dxa"/>
          </w:tcPr>
          <w:p w:rsidR="00E67F6F" w:rsidRPr="00791024" w:rsidRDefault="00E67F6F" w:rsidP="0061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F6F" w:rsidRPr="00610AD5" w:rsidTr="006F3242">
        <w:trPr>
          <w:trHeight w:val="695"/>
          <w:jc w:val="center"/>
        </w:trPr>
        <w:tc>
          <w:tcPr>
            <w:tcW w:w="1089" w:type="dxa"/>
            <w:vAlign w:val="center"/>
          </w:tcPr>
          <w:p w:rsidR="00E67F6F" w:rsidRPr="00791024" w:rsidRDefault="00E67F6F" w:rsidP="00654D44">
            <w:pPr>
              <w:rPr>
                <w:rFonts w:ascii="Arial" w:hAnsi="Arial" w:cs="Arial"/>
                <w:sz w:val="18"/>
                <w:szCs w:val="18"/>
              </w:rPr>
            </w:pPr>
            <w:r w:rsidRPr="00791024">
              <w:rPr>
                <w:rFonts w:ascii="Arial" w:hAnsi="Arial" w:cs="Arial"/>
                <w:sz w:val="18"/>
                <w:szCs w:val="18"/>
              </w:rPr>
              <w:t>Modelo de utilidad</w:t>
            </w:r>
          </w:p>
        </w:tc>
        <w:tc>
          <w:tcPr>
            <w:tcW w:w="1528" w:type="dxa"/>
          </w:tcPr>
          <w:p w:rsidR="00E67F6F" w:rsidRPr="00791024" w:rsidRDefault="00E67F6F" w:rsidP="0061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:rsidR="00E67F6F" w:rsidRPr="00791024" w:rsidRDefault="003B7A2D" w:rsidP="006F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A2D">
              <w:rPr>
                <w:rFonts w:ascii="Arial" w:hAnsi="Arial" w:cs="Arial"/>
                <w:sz w:val="18"/>
                <w:szCs w:val="18"/>
              </w:rPr>
              <w:t>318003</w:t>
            </w:r>
          </w:p>
        </w:tc>
        <w:tc>
          <w:tcPr>
            <w:tcW w:w="1516" w:type="dxa"/>
            <w:vAlign w:val="center"/>
          </w:tcPr>
          <w:p w:rsidR="00E67F6F" w:rsidRPr="00791024" w:rsidRDefault="003B7A2D" w:rsidP="006F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A2D">
              <w:rPr>
                <w:rFonts w:ascii="Arial" w:hAnsi="Arial" w:cs="Arial"/>
                <w:sz w:val="18"/>
                <w:szCs w:val="18"/>
              </w:rPr>
              <w:t>232606</w:t>
            </w:r>
          </w:p>
        </w:tc>
        <w:tc>
          <w:tcPr>
            <w:tcW w:w="1496" w:type="dxa"/>
            <w:vAlign w:val="center"/>
          </w:tcPr>
          <w:p w:rsidR="00E67F6F" w:rsidRPr="00791024" w:rsidRDefault="006F3242" w:rsidP="006F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242">
              <w:rPr>
                <w:rFonts w:ascii="Arial" w:hAnsi="Arial" w:cs="Arial"/>
                <w:sz w:val="18"/>
                <w:szCs w:val="18"/>
              </w:rPr>
              <w:t>85508</w:t>
            </w:r>
          </w:p>
        </w:tc>
        <w:tc>
          <w:tcPr>
            <w:tcW w:w="1377" w:type="dxa"/>
          </w:tcPr>
          <w:p w:rsidR="00E67F6F" w:rsidRPr="00791024" w:rsidRDefault="00E67F6F" w:rsidP="0061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F6F" w:rsidRPr="00610AD5" w:rsidTr="006F3242">
        <w:trPr>
          <w:trHeight w:val="779"/>
          <w:jc w:val="center"/>
        </w:trPr>
        <w:tc>
          <w:tcPr>
            <w:tcW w:w="1089" w:type="dxa"/>
            <w:vAlign w:val="center"/>
          </w:tcPr>
          <w:p w:rsidR="00E67F6F" w:rsidRPr="00791024" w:rsidRDefault="00E67F6F" w:rsidP="00654D44">
            <w:pPr>
              <w:rPr>
                <w:rFonts w:ascii="Arial" w:hAnsi="Arial" w:cs="Arial"/>
                <w:sz w:val="18"/>
                <w:szCs w:val="18"/>
              </w:rPr>
            </w:pPr>
            <w:r w:rsidRPr="00791024">
              <w:rPr>
                <w:rFonts w:ascii="Arial" w:hAnsi="Arial" w:cs="Arial"/>
                <w:sz w:val="18"/>
                <w:szCs w:val="18"/>
              </w:rPr>
              <w:t>Modelo o diseño industrial</w:t>
            </w:r>
          </w:p>
        </w:tc>
        <w:tc>
          <w:tcPr>
            <w:tcW w:w="1528" w:type="dxa"/>
          </w:tcPr>
          <w:p w:rsidR="00E67F6F" w:rsidRPr="00791024" w:rsidRDefault="00E67F6F" w:rsidP="0061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:rsidR="00E67F6F" w:rsidRPr="00791024" w:rsidRDefault="003B7A2D" w:rsidP="006F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A2D">
              <w:rPr>
                <w:rFonts w:ascii="Arial" w:hAnsi="Arial" w:cs="Arial"/>
                <w:sz w:val="18"/>
                <w:szCs w:val="18"/>
              </w:rPr>
              <w:t>215997</w:t>
            </w:r>
          </w:p>
        </w:tc>
        <w:tc>
          <w:tcPr>
            <w:tcW w:w="1516" w:type="dxa"/>
            <w:vAlign w:val="center"/>
          </w:tcPr>
          <w:p w:rsidR="00E67F6F" w:rsidRPr="00791024" w:rsidRDefault="003B7A2D" w:rsidP="006F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A2D">
              <w:rPr>
                <w:rFonts w:ascii="Arial" w:hAnsi="Arial" w:cs="Arial"/>
                <w:sz w:val="18"/>
                <w:szCs w:val="18"/>
              </w:rPr>
              <w:t>161137</w:t>
            </w:r>
          </w:p>
        </w:tc>
        <w:tc>
          <w:tcPr>
            <w:tcW w:w="1496" w:type="dxa"/>
            <w:vAlign w:val="center"/>
          </w:tcPr>
          <w:p w:rsidR="00E67F6F" w:rsidRPr="00791024" w:rsidRDefault="003B7A2D" w:rsidP="006F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A2D">
              <w:rPr>
                <w:rFonts w:ascii="Arial" w:hAnsi="Arial" w:cs="Arial"/>
                <w:sz w:val="18"/>
                <w:szCs w:val="18"/>
              </w:rPr>
              <w:t>55664</w:t>
            </w:r>
          </w:p>
        </w:tc>
        <w:tc>
          <w:tcPr>
            <w:tcW w:w="1377" w:type="dxa"/>
          </w:tcPr>
          <w:p w:rsidR="00E67F6F" w:rsidRPr="00791024" w:rsidRDefault="00E67F6F" w:rsidP="0061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F6F" w:rsidRPr="00610AD5" w:rsidTr="00E67F6F">
        <w:trPr>
          <w:trHeight w:val="772"/>
          <w:jc w:val="center"/>
        </w:trPr>
        <w:tc>
          <w:tcPr>
            <w:tcW w:w="1089" w:type="dxa"/>
            <w:vAlign w:val="center"/>
          </w:tcPr>
          <w:p w:rsidR="00E67F6F" w:rsidRPr="00791024" w:rsidRDefault="00E67F6F" w:rsidP="00654D44">
            <w:pPr>
              <w:rPr>
                <w:rFonts w:ascii="Arial" w:hAnsi="Arial" w:cs="Arial"/>
                <w:sz w:val="18"/>
                <w:szCs w:val="18"/>
              </w:rPr>
            </w:pPr>
            <w:r w:rsidRPr="00791024">
              <w:rPr>
                <w:rFonts w:ascii="Arial" w:hAnsi="Arial" w:cs="Arial"/>
                <w:sz w:val="18"/>
                <w:szCs w:val="18"/>
              </w:rPr>
              <w:t>Variedad Vegetal</w:t>
            </w:r>
          </w:p>
        </w:tc>
        <w:tc>
          <w:tcPr>
            <w:tcW w:w="1528" w:type="dxa"/>
          </w:tcPr>
          <w:p w:rsidR="00E67F6F" w:rsidRPr="00791024" w:rsidRDefault="00E67F6F" w:rsidP="0061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:rsidR="00E67F6F" w:rsidRPr="00791024" w:rsidRDefault="00E67F6F" w:rsidP="0061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</w:tcPr>
          <w:p w:rsidR="00E67F6F" w:rsidRPr="00791024" w:rsidRDefault="00E67F6F" w:rsidP="0061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E67F6F" w:rsidRPr="00791024" w:rsidRDefault="00E67F6F" w:rsidP="0061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</w:tcPr>
          <w:p w:rsidR="00E67F6F" w:rsidRPr="00791024" w:rsidRDefault="00E67F6F" w:rsidP="0061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7054" w:rsidRDefault="00717054" w:rsidP="00E05235">
      <w:pPr>
        <w:rPr>
          <w:rFonts w:ascii="Arial" w:hAnsi="Arial" w:cs="Arial"/>
          <w:sz w:val="20"/>
          <w:szCs w:val="20"/>
        </w:rPr>
      </w:pPr>
    </w:p>
    <w:p w:rsidR="00324058" w:rsidRPr="00E05235" w:rsidRDefault="00324058" w:rsidP="00E052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Adjunto el archivo enviado por Marta Cid, con los números de solicitudes no publicadas (“</w:t>
      </w:r>
      <w:proofErr w:type="spellStart"/>
      <w:r w:rsidRPr="00324058">
        <w:rPr>
          <w:rFonts w:ascii="Arial" w:hAnsi="Arial" w:cs="Arial"/>
          <w:sz w:val="20"/>
          <w:szCs w:val="20"/>
        </w:rPr>
        <w:t>ALFA_PyU_NO_PUBLICADOS</w:t>
      </w:r>
      <w:proofErr w:type="spellEnd"/>
      <w:r>
        <w:rPr>
          <w:rFonts w:ascii="Arial" w:hAnsi="Arial" w:cs="Arial"/>
          <w:sz w:val="20"/>
          <w:szCs w:val="20"/>
        </w:rPr>
        <w:t>”) y el documento elaborado por Pedro González Patiño con el número de expedientes (“</w:t>
      </w:r>
      <w:r w:rsidRPr="00324058">
        <w:rPr>
          <w:rFonts w:ascii="Arial" w:hAnsi="Arial" w:cs="Arial"/>
          <w:sz w:val="20"/>
          <w:szCs w:val="20"/>
        </w:rPr>
        <w:t xml:space="preserve">Datos </w:t>
      </w:r>
      <w:proofErr w:type="spellStart"/>
      <w:r w:rsidRPr="00324058">
        <w:rPr>
          <w:rFonts w:ascii="Arial" w:hAnsi="Arial" w:cs="Arial"/>
          <w:sz w:val="20"/>
          <w:szCs w:val="20"/>
        </w:rPr>
        <w:t>numero</w:t>
      </w:r>
      <w:proofErr w:type="spellEnd"/>
      <w:r w:rsidRPr="00324058">
        <w:rPr>
          <w:rFonts w:ascii="Arial" w:hAnsi="Arial" w:cs="Arial"/>
          <w:sz w:val="20"/>
          <w:szCs w:val="20"/>
        </w:rPr>
        <w:t xml:space="preserve"> de expedientes por Pedro G Patiño oct2012</w:t>
      </w:r>
      <w:r>
        <w:rPr>
          <w:rFonts w:ascii="Arial" w:hAnsi="Arial" w:cs="Arial"/>
          <w:sz w:val="20"/>
          <w:szCs w:val="20"/>
        </w:rPr>
        <w:t>”).</w:t>
      </w:r>
    </w:p>
    <w:p w:rsidR="00E05235" w:rsidRPr="00610AD5" w:rsidRDefault="00E05235" w:rsidP="00717054">
      <w:pPr>
        <w:rPr>
          <w:rFonts w:ascii="Arial" w:hAnsi="Arial" w:cs="Arial"/>
          <w:sz w:val="20"/>
          <w:szCs w:val="20"/>
        </w:rPr>
      </w:pPr>
    </w:p>
    <w:p w:rsidR="00C405F8" w:rsidRDefault="00C405F8" w:rsidP="00654D4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18"/>
        </w:rPr>
      </w:pPr>
      <w:r w:rsidRPr="00654D44">
        <w:rPr>
          <w:rFonts w:ascii="Arial" w:hAnsi="Arial" w:cs="Arial"/>
          <w:szCs w:val="20"/>
        </w:rPr>
        <w:t>Información complementaria producida y/o asociada a la gestión de la solicitud</w:t>
      </w:r>
      <w:r w:rsidRPr="00654D44">
        <w:rPr>
          <w:rFonts w:ascii="Arial" w:hAnsi="Arial" w:cs="Arial"/>
          <w:sz w:val="22"/>
          <w:szCs w:val="18"/>
        </w:rPr>
        <w:t xml:space="preserve">. </w:t>
      </w:r>
    </w:p>
    <w:p w:rsidR="00131A94" w:rsidRPr="00654D44" w:rsidRDefault="00131A94" w:rsidP="00131A94">
      <w:pPr>
        <w:pStyle w:val="Prrafodelista"/>
        <w:jc w:val="both"/>
        <w:rPr>
          <w:rFonts w:ascii="Arial" w:hAnsi="Arial" w:cs="Arial"/>
          <w:sz w:val="22"/>
          <w:szCs w:val="18"/>
        </w:rPr>
      </w:pPr>
    </w:p>
    <w:p w:rsidR="00717054" w:rsidRDefault="00C405F8" w:rsidP="00C405F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18"/>
        </w:rPr>
      </w:pPr>
      <w:r w:rsidRPr="00C405F8">
        <w:rPr>
          <w:rFonts w:ascii="Arial" w:hAnsi="Arial" w:cs="Arial"/>
          <w:sz w:val="22"/>
          <w:szCs w:val="18"/>
        </w:rPr>
        <w:t>Listar los documentos que</w:t>
      </w:r>
      <w:r w:rsidR="006E5878">
        <w:rPr>
          <w:rFonts w:ascii="Arial" w:hAnsi="Arial" w:cs="Arial"/>
          <w:sz w:val="22"/>
          <w:szCs w:val="18"/>
        </w:rPr>
        <w:t xml:space="preserve"> pueden</w:t>
      </w:r>
      <w:r w:rsidRPr="00C405F8">
        <w:rPr>
          <w:rFonts w:ascii="Arial" w:hAnsi="Arial" w:cs="Arial"/>
          <w:sz w:val="22"/>
          <w:szCs w:val="18"/>
        </w:rPr>
        <w:t xml:space="preserve"> integra</w:t>
      </w:r>
      <w:r w:rsidR="006E5878">
        <w:rPr>
          <w:rFonts w:ascii="Arial" w:hAnsi="Arial" w:cs="Arial"/>
          <w:sz w:val="22"/>
          <w:szCs w:val="18"/>
        </w:rPr>
        <w:t>r</w:t>
      </w:r>
      <w:r w:rsidRPr="00C405F8">
        <w:rPr>
          <w:rFonts w:ascii="Arial" w:hAnsi="Arial" w:cs="Arial"/>
          <w:sz w:val="22"/>
          <w:szCs w:val="18"/>
        </w:rPr>
        <w:t xml:space="preserve"> el expediente.</w:t>
      </w:r>
    </w:p>
    <w:p w:rsidR="00FD092D" w:rsidRDefault="00FD092D" w:rsidP="00FD092D">
      <w:pPr>
        <w:pStyle w:val="Prrafodelista"/>
        <w:ind w:left="1428"/>
        <w:contextualSpacing w:val="0"/>
        <w:rPr>
          <w:color w:val="1F497D"/>
        </w:rPr>
      </w:pPr>
      <w:r>
        <w:rPr>
          <w:color w:val="1F497D"/>
        </w:rPr>
        <w:t>En relación al catálogo de documentos, en el fichero adjunto “DOCCODES-</w:t>
      </w:r>
      <w:proofErr w:type="gramStart"/>
      <w:r>
        <w:rPr>
          <w:color w:val="1F497D"/>
        </w:rPr>
        <w:t>PHX(</w:t>
      </w:r>
      <w:proofErr w:type="gramEnd"/>
      <w:r>
        <w:rPr>
          <w:color w:val="1F497D"/>
        </w:rPr>
        <w:t>16-OCT-2012).</w:t>
      </w:r>
      <w:proofErr w:type="spellStart"/>
      <w:r>
        <w:rPr>
          <w:color w:val="1F497D"/>
        </w:rPr>
        <w:t>xlsx</w:t>
      </w:r>
      <w:proofErr w:type="spellEnd"/>
      <w:r>
        <w:rPr>
          <w:color w:val="1F497D"/>
        </w:rPr>
        <w:t>” tienes un listado de todos los códigos de documentos actuales, tanto de entrada como de salida (incluidos los de diseños)</w:t>
      </w:r>
    </w:p>
    <w:p w:rsidR="006E5878" w:rsidRPr="006E5878" w:rsidRDefault="006E5878" w:rsidP="006E5878">
      <w:pPr>
        <w:jc w:val="both"/>
        <w:rPr>
          <w:rFonts w:ascii="Arial" w:hAnsi="Arial" w:cs="Arial"/>
          <w:sz w:val="22"/>
          <w:szCs w:val="18"/>
        </w:rPr>
      </w:pPr>
    </w:p>
    <w:p w:rsidR="00654D44" w:rsidRDefault="00C405F8" w:rsidP="00654D4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Indicar las anotaciones que </w:t>
      </w:r>
      <w:r w:rsidR="006E5878">
        <w:rPr>
          <w:rFonts w:ascii="Arial" w:hAnsi="Arial" w:cs="Arial"/>
          <w:sz w:val="22"/>
          <w:szCs w:val="18"/>
        </w:rPr>
        <w:t>producen</w:t>
      </w:r>
      <w:r w:rsidR="006E5878" w:rsidRPr="00C405F8">
        <w:rPr>
          <w:rFonts w:ascii="Arial" w:hAnsi="Arial" w:cs="Arial"/>
          <w:sz w:val="22"/>
          <w:szCs w:val="18"/>
        </w:rPr>
        <w:t xml:space="preserve"> y/o asocia</w:t>
      </w:r>
      <w:r w:rsidR="006E5878">
        <w:rPr>
          <w:rFonts w:ascii="Arial" w:hAnsi="Arial" w:cs="Arial"/>
          <w:sz w:val="22"/>
          <w:szCs w:val="18"/>
        </w:rPr>
        <w:t>n</w:t>
      </w:r>
      <w:r w:rsidR="006E5878" w:rsidRPr="00C405F8">
        <w:rPr>
          <w:rFonts w:ascii="Arial" w:hAnsi="Arial" w:cs="Arial"/>
          <w:sz w:val="22"/>
          <w:szCs w:val="18"/>
        </w:rPr>
        <w:t xml:space="preserve"> </w:t>
      </w:r>
      <w:r w:rsidR="006E5878">
        <w:rPr>
          <w:rFonts w:ascii="Arial" w:hAnsi="Arial" w:cs="Arial"/>
          <w:sz w:val="22"/>
          <w:szCs w:val="18"/>
        </w:rPr>
        <w:t>al expediente, fundamentalmente información relacionad</w:t>
      </w:r>
      <w:r w:rsidR="005C5341">
        <w:rPr>
          <w:rFonts w:ascii="Arial" w:hAnsi="Arial" w:cs="Arial"/>
          <w:sz w:val="22"/>
          <w:szCs w:val="18"/>
        </w:rPr>
        <w:t>a</w:t>
      </w:r>
      <w:r w:rsidR="006E5878">
        <w:rPr>
          <w:rFonts w:ascii="Arial" w:hAnsi="Arial" w:cs="Arial"/>
          <w:sz w:val="22"/>
          <w:szCs w:val="18"/>
        </w:rPr>
        <w:t xml:space="preserve"> con el estado legal</w:t>
      </w:r>
      <w:r w:rsidR="005C5341">
        <w:rPr>
          <w:rFonts w:ascii="Arial" w:hAnsi="Arial" w:cs="Arial"/>
          <w:sz w:val="22"/>
          <w:szCs w:val="18"/>
        </w:rPr>
        <w:t xml:space="preserve"> y las citaciones</w:t>
      </w:r>
      <w:r w:rsidR="006E5878">
        <w:rPr>
          <w:rFonts w:ascii="Arial" w:hAnsi="Arial" w:cs="Arial"/>
          <w:sz w:val="22"/>
          <w:szCs w:val="18"/>
        </w:rPr>
        <w:t>.</w:t>
      </w:r>
      <w:r>
        <w:rPr>
          <w:rFonts w:ascii="Arial" w:hAnsi="Arial" w:cs="Arial"/>
          <w:sz w:val="22"/>
          <w:szCs w:val="18"/>
        </w:rPr>
        <w:t xml:space="preserve"> </w:t>
      </w:r>
    </w:p>
    <w:p w:rsidR="00FD092D" w:rsidRDefault="00FD092D" w:rsidP="00FD092D">
      <w:pPr>
        <w:pStyle w:val="Prrafodelista"/>
        <w:ind w:left="1428"/>
        <w:contextualSpacing w:val="0"/>
        <w:rPr>
          <w:color w:val="1F497D"/>
        </w:rPr>
      </w:pPr>
      <w:r>
        <w:rPr>
          <w:color w:val="1F497D"/>
        </w:rPr>
        <w:t>En relación a las anotaciones, el documento “OEPM - Tipo Anotaciones y Estados v13.xls” es el que actualmente está en producción, aunque estamos revisando todas las anotaciones y a corto-medio plazo es previsible que muchas de ellas se vean modificadas. Actualmente no hay ninguna anotación al pasar por el paso de Biblioteca Técnica, pero están previstas a futuro las siguientes:</w:t>
      </w:r>
    </w:p>
    <w:p w:rsidR="00FD092D" w:rsidRDefault="00FD092D" w:rsidP="00FD092D">
      <w:pPr>
        <w:pStyle w:val="Prrafodelista"/>
        <w:numPr>
          <w:ilvl w:val="1"/>
          <w:numId w:val="6"/>
        </w:numPr>
        <w:contextualSpacing w:val="0"/>
        <w:rPr>
          <w:color w:val="1F497D"/>
        </w:rPr>
      </w:pPr>
      <w:r>
        <w:rPr>
          <w:color w:val="1F497D"/>
        </w:rPr>
        <w:t>Patente nacional: “Anexado documentación IET”</w:t>
      </w:r>
    </w:p>
    <w:p w:rsidR="00FD092D" w:rsidRDefault="00FD092D" w:rsidP="00FD092D">
      <w:pPr>
        <w:pStyle w:val="Prrafodelista"/>
        <w:numPr>
          <w:ilvl w:val="1"/>
          <w:numId w:val="6"/>
        </w:numPr>
        <w:contextualSpacing w:val="0"/>
        <w:rPr>
          <w:color w:val="1F497D"/>
        </w:rPr>
      </w:pPr>
      <w:r>
        <w:rPr>
          <w:color w:val="1F497D"/>
        </w:rPr>
        <w:t>PCT ISA: Aún no hemos definido la anotación, pero será similar a la anterior.</w:t>
      </w:r>
    </w:p>
    <w:p w:rsidR="00FD092D" w:rsidRDefault="00FD092D" w:rsidP="00FD092D">
      <w:pPr>
        <w:jc w:val="both"/>
        <w:rPr>
          <w:rFonts w:ascii="Arial" w:hAnsi="Arial" w:cs="Arial"/>
          <w:sz w:val="22"/>
          <w:szCs w:val="18"/>
        </w:rPr>
      </w:pPr>
    </w:p>
    <w:p w:rsidR="00654D44" w:rsidRDefault="00654D44" w:rsidP="00654D44">
      <w:pPr>
        <w:pStyle w:val="Prrafodelista"/>
        <w:ind w:left="1428"/>
        <w:jc w:val="both"/>
        <w:rPr>
          <w:rFonts w:ascii="Arial" w:hAnsi="Arial" w:cs="Arial"/>
          <w:sz w:val="22"/>
          <w:szCs w:val="18"/>
        </w:rPr>
      </w:pPr>
    </w:p>
    <w:p w:rsidR="00654D44" w:rsidRDefault="00654D44" w:rsidP="00654D44">
      <w:pPr>
        <w:pStyle w:val="Prrafodelista"/>
        <w:ind w:left="1428"/>
        <w:jc w:val="both"/>
        <w:rPr>
          <w:rFonts w:ascii="Arial" w:hAnsi="Arial" w:cs="Arial"/>
          <w:sz w:val="22"/>
          <w:szCs w:val="18"/>
        </w:rPr>
      </w:pPr>
    </w:p>
    <w:p w:rsidR="00654D44" w:rsidRDefault="00654D44" w:rsidP="00654D4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Cs w:val="20"/>
        </w:rPr>
      </w:pPr>
      <w:r w:rsidRPr="00654D44">
        <w:rPr>
          <w:rFonts w:ascii="Arial" w:hAnsi="Arial" w:cs="Arial"/>
          <w:szCs w:val="20"/>
        </w:rPr>
        <w:t>Promoción y divulgación de información</w:t>
      </w:r>
    </w:p>
    <w:p w:rsidR="00131A94" w:rsidRPr="00654D44" w:rsidRDefault="00131A94" w:rsidP="00131A94">
      <w:pPr>
        <w:pStyle w:val="Prrafodelista"/>
        <w:jc w:val="both"/>
        <w:rPr>
          <w:rFonts w:ascii="Arial" w:hAnsi="Arial" w:cs="Arial"/>
          <w:szCs w:val="20"/>
        </w:rPr>
      </w:pPr>
    </w:p>
    <w:p w:rsidR="006E5878" w:rsidRDefault="00654D44" w:rsidP="00654D4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18"/>
        </w:rPr>
      </w:pPr>
      <w:r w:rsidRPr="00654D44">
        <w:rPr>
          <w:rFonts w:ascii="Arial" w:hAnsi="Arial" w:cs="Arial"/>
          <w:sz w:val="22"/>
          <w:szCs w:val="18"/>
        </w:rPr>
        <w:t>Indicar programas de promoción y divulgación de información.</w:t>
      </w:r>
    </w:p>
    <w:p w:rsidR="00FD092D" w:rsidRPr="00654D44" w:rsidRDefault="00FD092D" w:rsidP="00FD092D">
      <w:pPr>
        <w:pStyle w:val="Prrafodelista"/>
        <w:ind w:left="1428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Te adjunto el archivo: </w:t>
      </w:r>
      <w:r w:rsidR="00B3215B">
        <w:rPr>
          <w:rFonts w:ascii="Arial" w:hAnsi="Arial" w:cs="Arial"/>
          <w:sz w:val="22"/>
          <w:szCs w:val="18"/>
        </w:rPr>
        <w:t>“</w:t>
      </w:r>
      <w:r>
        <w:rPr>
          <w:rFonts w:ascii="Arial" w:hAnsi="Arial" w:cs="Arial"/>
          <w:sz w:val="22"/>
          <w:szCs w:val="18"/>
        </w:rPr>
        <w:t>actividades de promoción y divulgación de información OEPM 2011</w:t>
      </w:r>
      <w:r w:rsidR="00B3215B">
        <w:rPr>
          <w:rFonts w:ascii="Arial" w:hAnsi="Arial" w:cs="Arial"/>
          <w:sz w:val="22"/>
          <w:szCs w:val="18"/>
        </w:rPr>
        <w:t>.doc”.</w:t>
      </w:r>
    </w:p>
    <w:p w:rsidR="00654D44" w:rsidRDefault="00654D44" w:rsidP="00654D44">
      <w:pPr>
        <w:rPr>
          <w:rFonts w:ascii="Arial" w:hAnsi="Arial" w:cs="Arial"/>
          <w:sz w:val="22"/>
          <w:szCs w:val="18"/>
        </w:rPr>
      </w:pPr>
    </w:p>
    <w:p w:rsidR="00131A94" w:rsidRDefault="00654D44" w:rsidP="00131A9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Cs w:val="20"/>
        </w:rPr>
      </w:pPr>
      <w:r w:rsidRPr="00654D44">
        <w:rPr>
          <w:rFonts w:ascii="Arial" w:hAnsi="Arial" w:cs="Arial"/>
          <w:szCs w:val="20"/>
        </w:rPr>
        <w:t>Aumento de la cobertura.</w:t>
      </w:r>
    </w:p>
    <w:p w:rsidR="00131A94" w:rsidRDefault="00131A94" w:rsidP="00131A94">
      <w:pPr>
        <w:pStyle w:val="Prrafodelista"/>
        <w:jc w:val="both"/>
        <w:rPr>
          <w:rFonts w:ascii="Arial" w:hAnsi="Arial" w:cs="Arial"/>
          <w:szCs w:val="20"/>
        </w:rPr>
      </w:pPr>
    </w:p>
    <w:p w:rsidR="00131A94" w:rsidRPr="00131A94" w:rsidRDefault="00131A94" w:rsidP="00131A9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Cs w:val="20"/>
        </w:rPr>
      </w:pPr>
      <w:r w:rsidRPr="00131A94">
        <w:rPr>
          <w:rFonts w:ascii="Arial" w:hAnsi="Arial" w:cs="Arial"/>
          <w:sz w:val="22"/>
          <w:szCs w:val="18"/>
        </w:rPr>
        <w:t>Indicar posibles acciones de actuación y colaboración para aumentar la cobertura actual de la información sobre patentes existente en su país.</w:t>
      </w:r>
    </w:p>
    <w:p w:rsidR="00131A94" w:rsidRDefault="00131A94" w:rsidP="00131A94">
      <w:pPr>
        <w:pStyle w:val="Prrafodelista"/>
        <w:jc w:val="both"/>
        <w:rPr>
          <w:rFonts w:ascii="Arial" w:hAnsi="Arial" w:cs="Arial"/>
          <w:szCs w:val="20"/>
        </w:rPr>
      </w:pPr>
    </w:p>
    <w:p w:rsidR="008C589A" w:rsidRDefault="008C589A" w:rsidP="00131A94">
      <w:pPr>
        <w:pStyle w:val="Prrafodelista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Está previsto incorporar en INVENES </w:t>
      </w:r>
      <w:r w:rsidR="00B3215B">
        <w:rPr>
          <w:rFonts w:ascii="Arial" w:hAnsi="Arial" w:cs="Arial"/>
          <w:szCs w:val="20"/>
        </w:rPr>
        <w:t xml:space="preserve">unos </w:t>
      </w:r>
      <w:r>
        <w:rPr>
          <w:rFonts w:ascii="Arial" w:hAnsi="Arial" w:cs="Arial"/>
          <w:szCs w:val="20"/>
        </w:rPr>
        <w:t xml:space="preserve">80.000 documentos digitalizados de modelos de utilidad. </w:t>
      </w:r>
    </w:p>
    <w:p w:rsidR="008C589A" w:rsidRDefault="008C589A" w:rsidP="00131A94">
      <w:pPr>
        <w:pStyle w:val="Prrafodelista"/>
        <w:jc w:val="both"/>
        <w:rPr>
          <w:rFonts w:ascii="Arial" w:hAnsi="Arial" w:cs="Arial"/>
          <w:szCs w:val="20"/>
        </w:rPr>
      </w:pPr>
    </w:p>
    <w:p w:rsidR="00131A94" w:rsidRDefault="00131A94" w:rsidP="00654D4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Gacetas </w:t>
      </w:r>
    </w:p>
    <w:p w:rsidR="00131A94" w:rsidRPr="00131A94" w:rsidRDefault="00131A94" w:rsidP="00131A94">
      <w:pPr>
        <w:pStyle w:val="Prrafodelista"/>
        <w:rPr>
          <w:rFonts w:ascii="Arial" w:hAnsi="Arial" w:cs="Arial"/>
          <w:sz w:val="22"/>
          <w:szCs w:val="22"/>
        </w:rPr>
      </w:pPr>
    </w:p>
    <w:p w:rsidR="00131A94" w:rsidRDefault="00131A94" w:rsidP="00131A9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31A94">
        <w:rPr>
          <w:rFonts w:ascii="Arial" w:hAnsi="Arial" w:cs="Arial"/>
          <w:sz w:val="22"/>
          <w:szCs w:val="22"/>
        </w:rPr>
        <w:t xml:space="preserve">Indicar volumen total de gacetas </w:t>
      </w:r>
      <w:r w:rsidR="00871125">
        <w:rPr>
          <w:rFonts w:ascii="Arial" w:hAnsi="Arial" w:cs="Arial"/>
          <w:sz w:val="22"/>
          <w:szCs w:val="22"/>
        </w:rPr>
        <w:t>(</w:t>
      </w:r>
      <w:proofErr w:type="spellStart"/>
      <w:r w:rsidR="00871125">
        <w:rPr>
          <w:rFonts w:ascii="Arial" w:hAnsi="Arial" w:cs="Arial"/>
          <w:sz w:val="22"/>
          <w:szCs w:val="22"/>
        </w:rPr>
        <w:t>BOPIs</w:t>
      </w:r>
      <w:proofErr w:type="spellEnd"/>
      <w:r w:rsidR="00871125">
        <w:rPr>
          <w:rFonts w:ascii="Arial" w:hAnsi="Arial" w:cs="Arial"/>
          <w:sz w:val="22"/>
          <w:szCs w:val="22"/>
        </w:rPr>
        <w:t>)</w:t>
      </w:r>
    </w:p>
    <w:p w:rsidR="00871125" w:rsidRDefault="00871125" w:rsidP="00131A94">
      <w:pPr>
        <w:pStyle w:val="Prrafodelista"/>
        <w:ind w:firstLin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Desde 1886 hasta la actualidad.</w:t>
      </w:r>
    </w:p>
    <w:p w:rsidR="00131A94" w:rsidRDefault="00871125" w:rsidP="00131A94">
      <w:pPr>
        <w:pStyle w:val="Prrafodelista"/>
        <w:ind w:firstLin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más información v</w:t>
      </w:r>
      <w:r w:rsidR="008C589A">
        <w:rPr>
          <w:rFonts w:ascii="Arial" w:hAnsi="Arial" w:cs="Arial"/>
          <w:sz w:val="22"/>
          <w:szCs w:val="22"/>
        </w:rPr>
        <w:t>er “histórico bopi.pdf”.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C589A" w:rsidRDefault="008C589A" w:rsidP="00131A94">
      <w:pPr>
        <w:pStyle w:val="Prrafodelista"/>
        <w:ind w:firstLine="120"/>
        <w:jc w:val="both"/>
        <w:rPr>
          <w:rFonts w:ascii="Arial" w:hAnsi="Arial" w:cs="Arial"/>
          <w:sz w:val="22"/>
          <w:szCs w:val="22"/>
        </w:rPr>
      </w:pPr>
    </w:p>
    <w:p w:rsidR="00131A94" w:rsidRPr="00131A94" w:rsidRDefault="00131A94" w:rsidP="00131A9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31A94">
        <w:rPr>
          <w:rFonts w:ascii="Arial" w:hAnsi="Arial" w:cs="Arial"/>
          <w:sz w:val="22"/>
          <w:szCs w:val="22"/>
        </w:rPr>
        <w:t>Indicar volumen de gacetas digitalizadas</w:t>
      </w:r>
    </w:p>
    <w:p w:rsidR="00A508F3" w:rsidRPr="00131A94" w:rsidRDefault="008C589A" w:rsidP="00A508F3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Están digitalizadas todas excepto las de los años </w:t>
      </w:r>
      <w:r w:rsidR="00871125">
        <w:rPr>
          <w:rFonts w:ascii="Arial" w:hAnsi="Arial" w:cs="Arial"/>
          <w:sz w:val="22"/>
          <w:szCs w:val="22"/>
        </w:rPr>
        <w:t>1967 a 1997, que están solamente en papel.</w:t>
      </w:r>
    </w:p>
    <w:p w:rsidR="00A508F3" w:rsidRPr="009F05ED" w:rsidRDefault="00A508F3" w:rsidP="009F05ED">
      <w:pPr>
        <w:jc w:val="both"/>
        <w:rPr>
          <w:rFonts w:ascii="Arial" w:hAnsi="Arial" w:cs="Arial"/>
          <w:szCs w:val="20"/>
        </w:rPr>
      </w:pPr>
    </w:p>
    <w:p w:rsidR="00DA381F" w:rsidRPr="009F05ED" w:rsidRDefault="00DA381F" w:rsidP="009F05ED">
      <w:pPr>
        <w:jc w:val="both"/>
        <w:rPr>
          <w:rFonts w:ascii="Arial" w:hAnsi="Arial" w:cs="Arial"/>
          <w:sz w:val="22"/>
          <w:szCs w:val="18"/>
        </w:rPr>
      </w:pPr>
    </w:p>
    <w:p w:rsidR="00654D44" w:rsidRPr="00654D44" w:rsidRDefault="00654D44" w:rsidP="00654D44">
      <w:pPr>
        <w:jc w:val="both"/>
        <w:rPr>
          <w:rFonts w:ascii="Arial" w:hAnsi="Arial" w:cs="Arial"/>
          <w:sz w:val="22"/>
          <w:szCs w:val="18"/>
        </w:rPr>
      </w:pPr>
    </w:p>
    <w:p w:rsidR="00DA381F" w:rsidRDefault="000B1460" w:rsidP="00DA381F">
      <w:pPr>
        <w:jc w:val="both"/>
        <w:rPr>
          <w:color w:val="FF0000"/>
        </w:rPr>
      </w:pPr>
      <w:r>
        <w:rPr>
          <w:color w:val="FF0000"/>
        </w:rPr>
        <w:t xml:space="preserve">Nota: </w:t>
      </w:r>
      <w:r w:rsidR="00C866F5">
        <w:rPr>
          <w:color w:val="FF0000"/>
        </w:rPr>
        <w:t>En aras de seguir avanzando en la sincronización de los datos entre todos los servidores relacionados con el Programa, incluidos los servidores de publicación  nacionales, p</w:t>
      </w:r>
      <w:r>
        <w:rPr>
          <w:color w:val="FF0000"/>
        </w:rPr>
        <w:t>or favor enviar al espacio</w:t>
      </w:r>
      <w:r w:rsidR="00416308">
        <w:rPr>
          <w:color w:val="FF0000"/>
        </w:rPr>
        <w:t xml:space="preserve"> correspondiente a cada país en el repositorio </w:t>
      </w:r>
      <w:r>
        <w:rPr>
          <w:color w:val="FF0000"/>
        </w:rPr>
        <w:t xml:space="preserve">ftp </w:t>
      </w:r>
      <w:r w:rsidR="00416308">
        <w:rPr>
          <w:color w:val="FF0000"/>
        </w:rPr>
        <w:t>de EPO los inventarios  (en archivo CSV desde la primera solicitud hasta la fecha) de cada uno de los tipos de solicitud</w:t>
      </w:r>
      <w:r w:rsidR="001A4C8E">
        <w:rPr>
          <w:color w:val="FF0000"/>
        </w:rPr>
        <w:t xml:space="preserve"> que aparecen en la columna </w:t>
      </w:r>
      <w:r w:rsidR="001A4C8E" w:rsidRPr="001A4C8E">
        <w:rPr>
          <w:b/>
        </w:rPr>
        <w:t>Tipo</w:t>
      </w:r>
      <w:r>
        <w:rPr>
          <w:color w:val="FF0000"/>
        </w:rPr>
        <w:t xml:space="preserve"> (donde proceda)</w:t>
      </w:r>
      <w:r w:rsidR="00416308">
        <w:rPr>
          <w:color w:val="FF0000"/>
        </w:rPr>
        <w:t>.</w:t>
      </w:r>
      <w:r w:rsidR="00DA381F">
        <w:rPr>
          <w:color w:val="FF0000"/>
        </w:rPr>
        <w:t xml:space="preserve"> </w:t>
      </w:r>
      <w:r w:rsidR="00416308">
        <w:rPr>
          <w:color w:val="FF0000"/>
        </w:rPr>
        <w:t xml:space="preserve">Los campos de dicho fichero deben ser: </w:t>
      </w:r>
      <w:r w:rsidR="00416308" w:rsidRPr="001A4C8E">
        <w:rPr>
          <w:color w:val="0070C0"/>
        </w:rPr>
        <w:t>número de solicitud</w:t>
      </w:r>
      <w:r w:rsidR="00DA381F">
        <w:rPr>
          <w:color w:val="FF0000"/>
        </w:rPr>
        <w:t xml:space="preserve">, </w:t>
      </w:r>
      <w:r w:rsidR="00DA381F" w:rsidRPr="001A4C8E">
        <w:rPr>
          <w:color w:val="0070C0"/>
        </w:rPr>
        <w:t>fecha de solicitud</w:t>
      </w:r>
      <w:r w:rsidR="00DA381F">
        <w:rPr>
          <w:color w:val="FF0000"/>
        </w:rPr>
        <w:t xml:space="preserve">, </w:t>
      </w:r>
      <w:r w:rsidR="00DA381F" w:rsidRPr="009F05ED">
        <w:rPr>
          <w:color w:val="4F81BD" w:themeColor="accent1"/>
        </w:rPr>
        <w:t>tipo de</w:t>
      </w:r>
      <w:r w:rsidR="00DA381F">
        <w:rPr>
          <w:color w:val="FF0000"/>
        </w:rPr>
        <w:t xml:space="preserve"> </w:t>
      </w:r>
      <w:r w:rsidR="00DA381F" w:rsidRPr="001A4C8E">
        <w:rPr>
          <w:color w:val="0070C0"/>
        </w:rPr>
        <w:t>documento (kind code)</w:t>
      </w:r>
      <w:r w:rsidR="00DA381F">
        <w:rPr>
          <w:color w:val="FF0000"/>
        </w:rPr>
        <w:t>,</w:t>
      </w:r>
      <w:r w:rsidR="00416308">
        <w:rPr>
          <w:color w:val="FF0000"/>
        </w:rPr>
        <w:t xml:space="preserve"> </w:t>
      </w:r>
      <w:r w:rsidR="00416308" w:rsidRPr="001A4C8E">
        <w:rPr>
          <w:color w:val="0070C0"/>
        </w:rPr>
        <w:t>número de publicación</w:t>
      </w:r>
      <w:r w:rsidR="00416308">
        <w:rPr>
          <w:color w:val="FF0000"/>
        </w:rPr>
        <w:t xml:space="preserve"> y </w:t>
      </w:r>
      <w:r w:rsidR="00416308" w:rsidRPr="001A4C8E">
        <w:rPr>
          <w:color w:val="0070C0"/>
        </w:rPr>
        <w:t>fecha de publicación</w:t>
      </w:r>
      <w:r w:rsidR="00DA381F" w:rsidRPr="004C4A66">
        <w:rPr>
          <w:color w:val="FF0000"/>
        </w:rPr>
        <w:t>.</w:t>
      </w:r>
      <w:r>
        <w:rPr>
          <w:color w:val="FF0000"/>
        </w:rPr>
        <w:t xml:space="preserve"> Tener en cuenta que habrá solicitudes que van a tener varias publicaciones y sus números y fecha de solicitud</w:t>
      </w:r>
      <w:r w:rsidR="001A4C8E">
        <w:rPr>
          <w:color w:val="FF0000"/>
        </w:rPr>
        <w:t xml:space="preserve"> coincidirán, n</w:t>
      </w:r>
      <w:r>
        <w:rPr>
          <w:color w:val="FF0000"/>
        </w:rPr>
        <w:t>o hay ningún problema en que</w:t>
      </w:r>
      <w:r w:rsidR="00C866F5">
        <w:rPr>
          <w:color w:val="FF0000"/>
        </w:rPr>
        <w:t xml:space="preserve"> se</w:t>
      </w:r>
      <w:r>
        <w:rPr>
          <w:color w:val="FF0000"/>
        </w:rPr>
        <w:t xml:space="preserve"> repitan en el inventario</w:t>
      </w:r>
      <w:r w:rsidR="0060719E">
        <w:rPr>
          <w:color w:val="FF0000"/>
        </w:rPr>
        <w:t xml:space="preserve"> </w:t>
      </w:r>
      <w:r w:rsidR="001A4C8E">
        <w:rPr>
          <w:color w:val="FF0000"/>
        </w:rPr>
        <w:t xml:space="preserve">si están </w:t>
      </w:r>
      <w:r>
        <w:rPr>
          <w:color w:val="FF0000"/>
        </w:rPr>
        <w:t xml:space="preserve">diferenciadas por su </w:t>
      </w:r>
      <w:r w:rsidR="0060719E">
        <w:rPr>
          <w:color w:val="FF0000"/>
        </w:rPr>
        <w:t xml:space="preserve">número de publicación (en algunos casos será igual al número de solicitud también), </w:t>
      </w:r>
      <w:r>
        <w:rPr>
          <w:color w:val="FF0000"/>
        </w:rPr>
        <w:t>kind code y fecha de publi</w:t>
      </w:r>
      <w:r w:rsidR="0060719E">
        <w:rPr>
          <w:color w:val="FF0000"/>
        </w:rPr>
        <w:t>ca</w:t>
      </w:r>
      <w:r>
        <w:rPr>
          <w:color w:val="FF0000"/>
        </w:rPr>
        <w:t>ción</w:t>
      </w:r>
      <w:r w:rsidR="0060719E">
        <w:rPr>
          <w:color w:val="FF0000"/>
        </w:rPr>
        <w:t xml:space="preserve">, por otra parte </w:t>
      </w:r>
      <w:r w:rsidR="00C866F5">
        <w:rPr>
          <w:color w:val="FF0000"/>
        </w:rPr>
        <w:t xml:space="preserve">en </w:t>
      </w:r>
      <w:r w:rsidR="0060719E">
        <w:rPr>
          <w:color w:val="FF0000"/>
        </w:rPr>
        <w:t>aquellas solicitudes que nunca se han publicado</w:t>
      </w:r>
      <w:r w:rsidR="00C866F5">
        <w:rPr>
          <w:color w:val="FF0000"/>
        </w:rPr>
        <w:t xml:space="preserve"> evidentemente no aparecerán datos de publicación lo cual no constituye un problema</w:t>
      </w:r>
      <w:r w:rsidR="0060719E">
        <w:rPr>
          <w:color w:val="FF0000"/>
        </w:rPr>
        <w:t>.  En un paso posterior nos pondremos de acuerdo en la forma de actualizar dicho inventario.</w:t>
      </w:r>
      <w:r w:rsidR="00DA381F" w:rsidRPr="004C4A66">
        <w:rPr>
          <w:color w:val="FF0000"/>
        </w:rPr>
        <w:t xml:space="preserve"> Una vez realizada</w:t>
      </w:r>
      <w:r w:rsidR="00DA381F">
        <w:rPr>
          <w:color w:val="FF0000"/>
        </w:rPr>
        <w:t>s</w:t>
      </w:r>
      <w:r w:rsidR="00DA381F" w:rsidRPr="004C4A66">
        <w:rPr>
          <w:color w:val="FF0000"/>
        </w:rPr>
        <w:t xml:space="preserve"> la</w:t>
      </w:r>
      <w:r w:rsidR="00DA381F">
        <w:rPr>
          <w:color w:val="FF0000"/>
        </w:rPr>
        <w:t>s</w:t>
      </w:r>
      <w:r w:rsidR="00DA381F" w:rsidRPr="004C4A66">
        <w:rPr>
          <w:color w:val="FF0000"/>
        </w:rPr>
        <w:t xml:space="preserve"> transferencia</w:t>
      </w:r>
      <w:r w:rsidR="00DA381F">
        <w:rPr>
          <w:color w:val="FF0000"/>
        </w:rPr>
        <w:t>s</w:t>
      </w:r>
      <w:r w:rsidR="00DA381F" w:rsidRPr="004C4A66">
        <w:rPr>
          <w:color w:val="FF0000"/>
        </w:rPr>
        <w:t xml:space="preserve"> </w:t>
      </w:r>
      <w:r w:rsidR="00DA381F">
        <w:rPr>
          <w:color w:val="FF0000"/>
        </w:rPr>
        <w:t xml:space="preserve">por favor </w:t>
      </w:r>
      <w:r w:rsidR="00DA381F" w:rsidRPr="004C4A66">
        <w:rPr>
          <w:color w:val="FF0000"/>
        </w:rPr>
        <w:t xml:space="preserve">enviar mensaje </w:t>
      </w:r>
      <w:r>
        <w:rPr>
          <w:color w:val="FF0000"/>
        </w:rPr>
        <w:t xml:space="preserve">de notificación </w:t>
      </w:r>
      <w:r w:rsidR="00DA381F" w:rsidRPr="004C4A66">
        <w:rPr>
          <w:color w:val="FF0000"/>
        </w:rPr>
        <w:t>a la</w:t>
      </w:r>
      <w:r w:rsidR="00DA381F">
        <w:rPr>
          <w:color w:val="FF0000"/>
        </w:rPr>
        <w:t>s</w:t>
      </w:r>
      <w:r w:rsidR="00DA381F" w:rsidRPr="004C4A66">
        <w:rPr>
          <w:color w:val="FF0000"/>
        </w:rPr>
        <w:t xml:space="preserve"> siguiente</w:t>
      </w:r>
      <w:r w:rsidR="00DA381F">
        <w:rPr>
          <w:color w:val="FF0000"/>
        </w:rPr>
        <w:t>s direcciones electrónicas</w:t>
      </w:r>
      <w:r>
        <w:rPr>
          <w:color w:val="FF0000"/>
        </w:rPr>
        <w:t xml:space="preserve"> </w:t>
      </w:r>
      <w:hyperlink r:id="rId7" w:history="1">
        <w:r w:rsidR="00DA381F" w:rsidRPr="001761A4">
          <w:rPr>
            <w:rStyle w:val="Hipervnculo"/>
          </w:rPr>
          <w:t>gabriel.berlicki@wipo.int</w:t>
        </w:r>
      </w:hyperlink>
      <w:r w:rsidR="00DA381F">
        <w:rPr>
          <w:color w:val="FF0000"/>
        </w:rPr>
        <w:t xml:space="preserve">, </w:t>
      </w:r>
      <w:hyperlink r:id="rId8" w:history="1">
        <w:r w:rsidRPr="001761A4">
          <w:rPr>
            <w:rStyle w:val="Hipervnculo"/>
          </w:rPr>
          <w:t>wrodriguez@epo.org</w:t>
        </w:r>
      </w:hyperlink>
      <w:r>
        <w:rPr>
          <w:color w:val="FF0000"/>
        </w:rPr>
        <w:t xml:space="preserve"> y </w:t>
      </w:r>
      <w:hyperlink r:id="rId9" w:history="1">
        <w:r w:rsidRPr="001761A4">
          <w:rPr>
            <w:rStyle w:val="Hipervnculo"/>
          </w:rPr>
          <w:t>ernesto.quintela@oepm.es</w:t>
        </w:r>
      </w:hyperlink>
      <w:r w:rsidR="008B66B7">
        <w:rPr>
          <w:color w:val="FF0000"/>
        </w:rPr>
        <w:t xml:space="preserve">. </w:t>
      </w:r>
    </w:p>
    <w:p w:rsidR="000B1460" w:rsidRPr="004C4A66" w:rsidRDefault="000B1460" w:rsidP="00DA381F">
      <w:pPr>
        <w:jc w:val="both"/>
        <w:rPr>
          <w:color w:val="FF0000"/>
        </w:rPr>
      </w:pPr>
    </w:p>
    <w:p w:rsidR="006E5878" w:rsidRPr="00654D44" w:rsidRDefault="006E5878" w:rsidP="00717054">
      <w:pPr>
        <w:rPr>
          <w:rFonts w:ascii="Arial" w:hAnsi="Arial" w:cs="Arial"/>
          <w:sz w:val="22"/>
          <w:szCs w:val="18"/>
        </w:rPr>
      </w:pPr>
    </w:p>
    <w:p w:rsidR="00C8180C" w:rsidRPr="00610AD5" w:rsidRDefault="00C8180C" w:rsidP="00A36EFB">
      <w:pPr>
        <w:ind w:left="360" w:firstLine="348"/>
        <w:jc w:val="both"/>
        <w:rPr>
          <w:rFonts w:ascii="Arial" w:hAnsi="Arial" w:cs="Arial"/>
        </w:rPr>
      </w:pPr>
    </w:p>
    <w:sectPr w:rsidR="00C8180C" w:rsidRPr="00610AD5" w:rsidSect="00654D4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622" w:rsidRDefault="001C1622">
      <w:r>
        <w:separator/>
      </w:r>
    </w:p>
  </w:endnote>
  <w:endnote w:type="continuationSeparator" w:id="0">
    <w:p w:rsidR="001C1622" w:rsidRDefault="001C1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622" w:rsidRDefault="001C1622">
      <w:r>
        <w:separator/>
      </w:r>
    </w:p>
  </w:footnote>
  <w:footnote w:type="continuationSeparator" w:id="0">
    <w:p w:rsidR="001C1622" w:rsidRDefault="001C1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F2" w:rsidRDefault="007312CE">
    <w:pPr>
      <w:pStyle w:val="Encabezado"/>
    </w:pPr>
    <w:r>
      <w:rPr>
        <w:noProof/>
      </w:rPr>
      <w:drawing>
        <wp:inline distT="0" distB="0" distL="0" distR="0">
          <wp:extent cx="5391150" cy="485775"/>
          <wp:effectExtent l="19050" t="0" r="0" b="0"/>
          <wp:docPr id="1" name="Imagen 1" descr="organiza_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ganiza_bl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87B"/>
    <w:multiLevelType w:val="hybridMultilevel"/>
    <w:tmpl w:val="F1E46982"/>
    <w:lvl w:ilvl="0" w:tplc="DA6E4D8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B2F1819"/>
    <w:multiLevelType w:val="hybridMultilevel"/>
    <w:tmpl w:val="4FD87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F7D45"/>
    <w:multiLevelType w:val="hybridMultilevel"/>
    <w:tmpl w:val="3864C45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5F826D9"/>
    <w:multiLevelType w:val="hybridMultilevel"/>
    <w:tmpl w:val="F3522D6A"/>
    <w:lvl w:ilvl="0" w:tplc="2D7E9B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DC326A9"/>
    <w:multiLevelType w:val="multilevel"/>
    <w:tmpl w:val="0CD81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4B170FF"/>
    <w:multiLevelType w:val="hybridMultilevel"/>
    <w:tmpl w:val="9A2608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02799"/>
    <w:multiLevelType w:val="hybridMultilevel"/>
    <w:tmpl w:val="ACA6E2A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12063C1"/>
    <w:multiLevelType w:val="hybridMultilevel"/>
    <w:tmpl w:val="2F845C2E"/>
    <w:lvl w:ilvl="0" w:tplc="DA720A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76135A"/>
    <w:multiLevelType w:val="hybridMultilevel"/>
    <w:tmpl w:val="9D44E0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50800"/>
    <w:multiLevelType w:val="hybridMultilevel"/>
    <w:tmpl w:val="CD2CC81C"/>
    <w:lvl w:ilvl="0" w:tplc="5DC253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480"/>
    <w:rsid w:val="000070A7"/>
    <w:rsid w:val="00010746"/>
    <w:rsid w:val="00024CE7"/>
    <w:rsid w:val="00032E35"/>
    <w:rsid w:val="00035179"/>
    <w:rsid w:val="000375E0"/>
    <w:rsid w:val="00096966"/>
    <w:rsid w:val="000A616E"/>
    <w:rsid w:val="000A7951"/>
    <w:rsid w:val="000B1460"/>
    <w:rsid w:val="000C7462"/>
    <w:rsid w:val="000D2A34"/>
    <w:rsid w:val="000D7248"/>
    <w:rsid w:val="00121477"/>
    <w:rsid w:val="00124190"/>
    <w:rsid w:val="00131A94"/>
    <w:rsid w:val="00150E9B"/>
    <w:rsid w:val="00175752"/>
    <w:rsid w:val="00177BF2"/>
    <w:rsid w:val="001A4C8E"/>
    <w:rsid w:val="001A5E7D"/>
    <w:rsid w:val="001A6DC7"/>
    <w:rsid w:val="001B7E55"/>
    <w:rsid w:val="001C1622"/>
    <w:rsid w:val="001F1385"/>
    <w:rsid w:val="002128DA"/>
    <w:rsid w:val="00220A58"/>
    <w:rsid w:val="0024223A"/>
    <w:rsid w:val="00252904"/>
    <w:rsid w:val="00253BC2"/>
    <w:rsid w:val="002A273D"/>
    <w:rsid w:val="002A372F"/>
    <w:rsid w:val="002B3A64"/>
    <w:rsid w:val="002D6E84"/>
    <w:rsid w:val="002E56DC"/>
    <w:rsid w:val="002E767F"/>
    <w:rsid w:val="003053CC"/>
    <w:rsid w:val="0031381A"/>
    <w:rsid w:val="00324058"/>
    <w:rsid w:val="00324F93"/>
    <w:rsid w:val="003373C2"/>
    <w:rsid w:val="00337457"/>
    <w:rsid w:val="00345C57"/>
    <w:rsid w:val="00345F4F"/>
    <w:rsid w:val="00352242"/>
    <w:rsid w:val="00387CA1"/>
    <w:rsid w:val="0039771F"/>
    <w:rsid w:val="003A6BFD"/>
    <w:rsid w:val="003B7A2D"/>
    <w:rsid w:val="003C1765"/>
    <w:rsid w:val="003C31E6"/>
    <w:rsid w:val="00411DF5"/>
    <w:rsid w:val="00416308"/>
    <w:rsid w:val="004176FC"/>
    <w:rsid w:val="0042682C"/>
    <w:rsid w:val="00443D57"/>
    <w:rsid w:val="004446CC"/>
    <w:rsid w:val="00447446"/>
    <w:rsid w:val="00450046"/>
    <w:rsid w:val="0045319D"/>
    <w:rsid w:val="00484EC6"/>
    <w:rsid w:val="00485781"/>
    <w:rsid w:val="004A1448"/>
    <w:rsid w:val="004B46AC"/>
    <w:rsid w:val="004C4A66"/>
    <w:rsid w:val="004E3EBE"/>
    <w:rsid w:val="004E659E"/>
    <w:rsid w:val="00592CDD"/>
    <w:rsid w:val="005C5341"/>
    <w:rsid w:val="0060719E"/>
    <w:rsid w:val="00610AD5"/>
    <w:rsid w:val="00615BA7"/>
    <w:rsid w:val="00654D44"/>
    <w:rsid w:val="00666C17"/>
    <w:rsid w:val="00666CD1"/>
    <w:rsid w:val="0067294F"/>
    <w:rsid w:val="006825B4"/>
    <w:rsid w:val="0069386B"/>
    <w:rsid w:val="00696C6F"/>
    <w:rsid w:val="006A00ED"/>
    <w:rsid w:val="006C66EE"/>
    <w:rsid w:val="006D2B7B"/>
    <w:rsid w:val="006E313F"/>
    <w:rsid w:val="006E5878"/>
    <w:rsid w:val="006F3242"/>
    <w:rsid w:val="006F5E21"/>
    <w:rsid w:val="0070572C"/>
    <w:rsid w:val="00717054"/>
    <w:rsid w:val="007173CE"/>
    <w:rsid w:val="007312CE"/>
    <w:rsid w:val="007454BB"/>
    <w:rsid w:val="00760B9F"/>
    <w:rsid w:val="0076600F"/>
    <w:rsid w:val="0077309A"/>
    <w:rsid w:val="00791024"/>
    <w:rsid w:val="007B5B73"/>
    <w:rsid w:val="007C2468"/>
    <w:rsid w:val="007E0551"/>
    <w:rsid w:val="007E3B12"/>
    <w:rsid w:val="008035CC"/>
    <w:rsid w:val="0082566B"/>
    <w:rsid w:val="0084324F"/>
    <w:rsid w:val="00844668"/>
    <w:rsid w:val="00871125"/>
    <w:rsid w:val="00877B7B"/>
    <w:rsid w:val="008A67CE"/>
    <w:rsid w:val="008B66B7"/>
    <w:rsid w:val="008C589A"/>
    <w:rsid w:val="008C7A19"/>
    <w:rsid w:val="008D6A8E"/>
    <w:rsid w:val="008E6E51"/>
    <w:rsid w:val="008F6E29"/>
    <w:rsid w:val="00981E15"/>
    <w:rsid w:val="009A52E0"/>
    <w:rsid w:val="009F05ED"/>
    <w:rsid w:val="009F0F91"/>
    <w:rsid w:val="009F5A3A"/>
    <w:rsid w:val="00A03446"/>
    <w:rsid w:val="00A05B2C"/>
    <w:rsid w:val="00A1759D"/>
    <w:rsid w:val="00A36480"/>
    <w:rsid w:val="00A36EFB"/>
    <w:rsid w:val="00A508F3"/>
    <w:rsid w:val="00A52630"/>
    <w:rsid w:val="00A53414"/>
    <w:rsid w:val="00A56961"/>
    <w:rsid w:val="00AA5F5B"/>
    <w:rsid w:val="00AA6474"/>
    <w:rsid w:val="00AB1DC5"/>
    <w:rsid w:val="00AB20D4"/>
    <w:rsid w:val="00AB5D4F"/>
    <w:rsid w:val="00AC656B"/>
    <w:rsid w:val="00AF09B9"/>
    <w:rsid w:val="00B117DD"/>
    <w:rsid w:val="00B152D0"/>
    <w:rsid w:val="00B3215B"/>
    <w:rsid w:val="00B41F22"/>
    <w:rsid w:val="00B67257"/>
    <w:rsid w:val="00B759D7"/>
    <w:rsid w:val="00BB17B1"/>
    <w:rsid w:val="00BC0261"/>
    <w:rsid w:val="00C04A31"/>
    <w:rsid w:val="00C06A4A"/>
    <w:rsid w:val="00C405F8"/>
    <w:rsid w:val="00C421BC"/>
    <w:rsid w:val="00C445E1"/>
    <w:rsid w:val="00C8180C"/>
    <w:rsid w:val="00C86165"/>
    <w:rsid w:val="00C866F5"/>
    <w:rsid w:val="00C90FD2"/>
    <w:rsid w:val="00C920D8"/>
    <w:rsid w:val="00CA0B04"/>
    <w:rsid w:val="00CD1A72"/>
    <w:rsid w:val="00CD33DF"/>
    <w:rsid w:val="00CE2CBB"/>
    <w:rsid w:val="00CE55A9"/>
    <w:rsid w:val="00CF119D"/>
    <w:rsid w:val="00CF25C4"/>
    <w:rsid w:val="00D255B0"/>
    <w:rsid w:val="00D31295"/>
    <w:rsid w:val="00D75142"/>
    <w:rsid w:val="00D76578"/>
    <w:rsid w:val="00D90197"/>
    <w:rsid w:val="00DA381F"/>
    <w:rsid w:val="00DC2038"/>
    <w:rsid w:val="00DC7CBA"/>
    <w:rsid w:val="00DD62FA"/>
    <w:rsid w:val="00DD6EDC"/>
    <w:rsid w:val="00DE040E"/>
    <w:rsid w:val="00E05235"/>
    <w:rsid w:val="00E06A66"/>
    <w:rsid w:val="00E21395"/>
    <w:rsid w:val="00E35EFE"/>
    <w:rsid w:val="00E46D1C"/>
    <w:rsid w:val="00E67F6F"/>
    <w:rsid w:val="00E71A0C"/>
    <w:rsid w:val="00E839FA"/>
    <w:rsid w:val="00E911AC"/>
    <w:rsid w:val="00EA7A5D"/>
    <w:rsid w:val="00EC2AA4"/>
    <w:rsid w:val="00EF3008"/>
    <w:rsid w:val="00F0685D"/>
    <w:rsid w:val="00F12965"/>
    <w:rsid w:val="00F155DC"/>
    <w:rsid w:val="00F17297"/>
    <w:rsid w:val="00F40D97"/>
    <w:rsid w:val="00F4175F"/>
    <w:rsid w:val="00F456DF"/>
    <w:rsid w:val="00F55632"/>
    <w:rsid w:val="00F634E3"/>
    <w:rsid w:val="00F63DBB"/>
    <w:rsid w:val="00F6590E"/>
    <w:rsid w:val="00F73B57"/>
    <w:rsid w:val="00F94391"/>
    <w:rsid w:val="00FD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48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E040E"/>
    <w:rPr>
      <w:color w:val="0000FF"/>
      <w:u w:val="single"/>
    </w:rPr>
  </w:style>
  <w:style w:type="paragraph" w:styleId="Encabezado">
    <w:name w:val="header"/>
    <w:basedOn w:val="Normal"/>
    <w:rsid w:val="001F13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F1385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F40D97"/>
    <w:pPr>
      <w:ind w:left="426" w:hanging="426"/>
    </w:pPr>
    <w:rPr>
      <w:sz w:val="20"/>
      <w:szCs w:val="20"/>
      <w:lang w:val="es-ES_tradnl"/>
    </w:rPr>
  </w:style>
  <w:style w:type="character" w:customStyle="1" w:styleId="hps">
    <w:name w:val="hps"/>
    <w:basedOn w:val="Fuentedeprrafopredeter"/>
    <w:rsid w:val="000C7462"/>
  </w:style>
  <w:style w:type="character" w:customStyle="1" w:styleId="hpsatn">
    <w:name w:val="hps atn"/>
    <w:basedOn w:val="Fuentedeprrafopredeter"/>
    <w:rsid w:val="000C7462"/>
  </w:style>
  <w:style w:type="paragraph" w:styleId="NormalWeb">
    <w:name w:val="Normal (Web)"/>
    <w:basedOn w:val="Normal"/>
    <w:uiPriority w:val="99"/>
    <w:unhideWhenUsed/>
    <w:rsid w:val="00A52630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rsid w:val="004176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176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3D57"/>
    <w:pPr>
      <w:ind w:left="720"/>
      <w:contextualSpacing/>
    </w:pPr>
  </w:style>
  <w:style w:type="table" w:styleId="Tablaconcuadrcula">
    <w:name w:val="Table Grid"/>
    <w:basedOn w:val="Tablanormal"/>
    <w:rsid w:val="00444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odriguez@ep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briel.berlicki@wipo.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nesto.quintela@oep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para las citaciones y reporte de búsqueda en  informe de examen</vt:lpstr>
    </vt:vector>
  </TitlesOfParts>
  <Company>OCPI</Company>
  <LinksUpToDate>false</LinksUpToDate>
  <CharactersWithSpaces>4105</CharactersWithSpaces>
  <SharedDoc>false</SharedDoc>
  <HLinks>
    <vt:vector size="6" baseType="variant">
      <vt:variant>
        <vt:i4>5767209</vt:i4>
      </vt:variant>
      <vt:variant>
        <vt:i4>48</vt:i4>
      </vt:variant>
      <vt:variant>
        <vt:i4>0</vt:i4>
      </vt:variant>
      <vt:variant>
        <vt:i4>5</vt:i4>
      </vt:variant>
      <vt:variant>
        <vt:lpwstr>mailto:ernesto.quintela@oepm.es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para las citaciones y reporte de búsqueda en  informe de examen</dc:title>
  <dc:subject/>
  <dc:creator>ernesto</dc:creator>
  <cp:keywords/>
  <cp:lastModifiedBy>OEPM</cp:lastModifiedBy>
  <cp:revision>5</cp:revision>
  <cp:lastPrinted>2011-11-02T11:08:00Z</cp:lastPrinted>
  <dcterms:created xsi:type="dcterms:W3CDTF">2012-11-02T09:58:00Z</dcterms:created>
  <dcterms:modified xsi:type="dcterms:W3CDTF">2012-11-02T10:31:00Z</dcterms:modified>
</cp:coreProperties>
</file>