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7" w:rsidRDefault="00674E0D">
      <w:r>
        <w:rPr>
          <w:rFonts w:ascii="Times New Roman" w:hAnsi="Times New Roman" w:cs="Times New Roman"/>
          <w:i/>
          <w:iCs/>
          <w:noProof/>
          <w:color w:val="0000FF"/>
          <w:lang w:eastAsia="sk-SK"/>
        </w:rPr>
        <w:drawing>
          <wp:inline distT="0" distB="0" distL="0" distR="0" wp14:anchorId="3297B995" wp14:editId="01B755EF">
            <wp:extent cx="5514340" cy="345694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E0D" w:rsidRDefault="00674E0D">
      <w:bookmarkStart w:id="0" w:name="_GoBack"/>
      <w:bookmarkEnd w:id="0"/>
    </w:p>
    <w:p w:rsidR="00674E0D" w:rsidRDefault="00674E0D">
      <w:r>
        <w:rPr>
          <w:rFonts w:ascii="Times New Roman" w:hAnsi="Times New Roman" w:cs="Times New Roman"/>
          <w:i/>
          <w:iCs/>
          <w:noProof/>
          <w:color w:val="0000FF"/>
          <w:lang w:eastAsia="sk-SK"/>
        </w:rPr>
        <w:drawing>
          <wp:inline distT="0" distB="0" distL="0" distR="0" wp14:anchorId="6650374F" wp14:editId="2E66C5EA">
            <wp:extent cx="5514340" cy="3447415"/>
            <wp:effectExtent l="0" t="0" r="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E0D" w:rsidRDefault="00674E0D"/>
    <w:p w:rsidR="00674E0D" w:rsidRDefault="00674E0D">
      <w:r>
        <w:br w:type="page"/>
      </w:r>
    </w:p>
    <w:p w:rsidR="00674E0D" w:rsidRDefault="00674E0D">
      <w:r w:rsidRPr="00977DF0">
        <w:rPr>
          <w:noProof/>
          <w:lang w:eastAsia="sk-SK"/>
        </w:rPr>
        <w:lastRenderedPageBreak/>
        <w:drawing>
          <wp:inline distT="0" distB="0" distL="0" distR="0" wp14:anchorId="14930240" wp14:editId="66CA1AD4">
            <wp:extent cx="3876675" cy="3554730"/>
            <wp:effectExtent l="0" t="0" r="9525" b="7620"/>
            <wp:docPr id="10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4E0D" w:rsidRDefault="00674E0D"/>
    <w:p w:rsidR="00674E0D" w:rsidRDefault="00674E0D">
      <w:r>
        <w:rPr>
          <w:rFonts w:ascii="Times New Roman" w:hAnsi="Times New Roman" w:cs="Times New Roman"/>
          <w:noProof/>
          <w:color w:val="000000"/>
          <w:lang w:eastAsia="sk-SK"/>
        </w:rPr>
        <w:drawing>
          <wp:inline distT="0" distB="0" distL="0" distR="0" wp14:anchorId="1E9DE6C8" wp14:editId="2AAB461F">
            <wp:extent cx="5760720" cy="4109195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E0D" w:rsidRDefault="00674E0D">
      <w:r>
        <w:br w:type="page"/>
      </w:r>
    </w:p>
    <w:p w:rsidR="00674E0D" w:rsidRDefault="00674E0D">
      <w:r w:rsidRPr="00977DF0">
        <w:rPr>
          <w:noProof/>
          <w:lang w:eastAsia="sk-SK"/>
        </w:rPr>
        <w:lastRenderedPageBreak/>
        <w:drawing>
          <wp:inline distT="0" distB="0" distL="0" distR="0" wp14:anchorId="02A80EB6" wp14:editId="04490D80">
            <wp:extent cx="5760085" cy="3764280"/>
            <wp:effectExtent l="0" t="0" r="12065" b="7620"/>
            <wp:docPr id="13" name="Graf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4E0D" w:rsidRDefault="00674E0D"/>
    <w:p w:rsidR="00674E0D" w:rsidRDefault="00674E0D">
      <w:r w:rsidRPr="00977DF0">
        <w:rPr>
          <w:noProof/>
          <w:lang w:eastAsia="sk-SK"/>
        </w:rPr>
        <w:drawing>
          <wp:inline distT="0" distB="0" distL="0" distR="0" wp14:anchorId="6867EFB2" wp14:editId="7663809D">
            <wp:extent cx="5760085" cy="3843020"/>
            <wp:effectExtent l="0" t="0" r="12065" b="5080"/>
            <wp:docPr id="14" name="Graf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7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0D"/>
    <w:rsid w:val="00482387"/>
    <w:rsid w:val="006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148"/>
  <w15:chartTrackingRefBased/>
  <w15:docId w15:val="{65AC9F38-DC94-41A6-8726-B7C57FE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WIPO_SCIT_reports\2018\OI_work_2018\grafy_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WIPO_SCIT_reports\2018\OI_work_2018\grafy_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WIPO_SCIT_reports\2018\OI_work_2018\grafy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050"/>
              <a:t>Patent applications filed in 2018 according to the IPC</a:t>
            </a:r>
          </a:p>
          <a:p>
            <a:pPr>
              <a:defRPr/>
            </a:pPr>
            <a:endParaRPr lang="sk-SK" sz="1050"/>
          </a:p>
          <a:p>
            <a:pPr>
              <a:defRPr/>
            </a:pPr>
            <a:r>
              <a:rPr lang="sk-SK" sz="1050"/>
              <a:t>Patentové prihlášky podané v roku 2018  podľa medzinárodného patentového triedenia</a:t>
            </a:r>
          </a:p>
        </c:rich>
      </c:tx>
      <c:layout>
        <c:manualLayout>
          <c:xMode val="edge"/>
          <c:yMode val="edge"/>
          <c:x val="8.8452088452088504E-2"/>
          <c:y val="4.02145298552306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656019656019769"/>
          <c:y val="0.33780205078393488"/>
          <c:w val="0.61179361179361524"/>
          <c:h val="0.50402210751888665"/>
        </c:manualLayout>
      </c:layout>
      <c:pie3DChart>
        <c:varyColors val="1"/>
        <c:ser>
          <c:idx val="0"/>
          <c:order val="0"/>
          <c:tx>
            <c:strRef>
              <c:f>'Patentove prihlasky podla MPT'!$B$5</c:f>
              <c:strCache>
                <c:ptCount val="1"/>
                <c:pt idx="0">
                  <c:v>Section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C09-4E30-A541-4F92C6D17E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C09-4E30-A541-4F92C6D17E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C09-4E30-A541-4F92C6D17E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C09-4E30-A541-4F92C6D17E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C09-4E30-A541-4F92C6D17E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C09-4E30-A541-4F92C6D17E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2C09-4E30-A541-4F92C6D17E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2C09-4E30-A541-4F92C6D17EC2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C09-4E30-A541-4F92C6D17EC2}"/>
                </c:ext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C09-4E30-A541-4F92C6D17EC2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C09-4E30-A541-4F92C6D17EC2}"/>
                </c:ext>
              </c:extLst>
            </c:dLbl>
            <c:dLbl>
              <c:idx val="3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2C09-4E30-A541-4F92C6D17EC2}"/>
                </c:ext>
              </c:extLst>
            </c:dLbl>
            <c:dLbl>
              <c:idx val="4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2C09-4E30-A541-4F92C6D17EC2}"/>
                </c:ext>
              </c:extLst>
            </c:dLbl>
            <c:dLbl>
              <c:idx val="5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2C09-4E30-A541-4F92C6D17EC2}"/>
                </c:ext>
              </c:extLst>
            </c:dLbl>
            <c:dLbl>
              <c:idx val="6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2C09-4E30-A541-4F92C6D17EC2}"/>
                </c:ext>
              </c:extLst>
            </c:dLbl>
            <c:dLbl>
              <c:idx val="7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2C09-4E30-A541-4F92C6D17EC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('Patentove prihlasky podla MPT'!$B$6:$B$13,'Patentove prihlasky podla MPT'!$F$6:$F$13)</c:f>
              <c:strCache>
                <c:ptCount val="1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23     </c:v>
                </c:pt>
                <c:pt idx="9">
                  <c:v>73     </c:v>
                </c:pt>
                <c:pt idx="10">
                  <c:v>16     </c:v>
                </c:pt>
                <c:pt idx="11">
                  <c:v>1     </c:v>
                </c:pt>
                <c:pt idx="12">
                  <c:v>22     </c:v>
                </c:pt>
                <c:pt idx="13">
                  <c:v>30     </c:v>
                </c:pt>
                <c:pt idx="14">
                  <c:v>39     </c:v>
                </c:pt>
                <c:pt idx="15">
                  <c:v>27     </c:v>
                </c:pt>
              </c:strCache>
            </c:strRef>
          </c:cat>
          <c:val>
            <c:numRef>
              <c:f>'Patentove prihlasky podla MPT'!$F$6:$F$13</c:f>
              <c:numCache>
                <c:formatCode>#,##0\ _ _ _ \ ;\-#,##0\ _ _ _ </c:formatCode>
                <c:ptCount val="8"/>
                <c:pt idx="0">
                  <c:v>23</c:v>
                </c:pt>
                <c:pt idx="1">
                  <c:v>73</c:v>
                </c:pt>
                <c:pt idx="2">
                  <c:v>16</c:v>
                </c:pt>
                <c:pt idx="3">
                  <c:v>1</c:v>
                </c:pt>
                <c:pt idx="4">
                  <c:v>22</c:v>
                </c:pt>
                <c:pt idx="5">
                  <c:v>30</c:v>
                </c:pt>
                <c:pt idx="6">
                  <c:v>39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C09-4E30-A541-4F92C6D17EC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12700" cap="flat" cmpd="sng" algn="ctr">
      <a:solidFill>
        <a:srgbClr val="100971"/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Utility model applications
Prihlášky úžitkových vzorov</a:t>
            </a:r>
          </a:p>
        </c:rich>
      </c:tx>
      <c:layout>
        <c:manualLayout>
          <c:xMode val="edge"/>
          <c:yMode val="edge"/>
          <c:x val="0.34224658507162342"/>
          <c:y val="3.59478271415030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23291778367276414"/>
          <c:y val="0.20261502570665368"/>
          <c:w val="0.74212846388854126"/>
          <c:h val="0.50109069699620878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'1 '!$A$27</c:f>
              <c:strCache>
                <c:ptCount val="1"/>
                <c:pt idx="0">
                  <c:v>Domáce/Domestic</c:v>
                </c:pt>
              </c:strCache>
            </c:strRef>
          </c:tx>
          <c:spPr>
            <a:solidFill>
              <a:srgbClr val="62933D"/>
            </a:solidFill>
            <a:ln>
              <a:noFill/>
            </a:ln>
            <a:effectLst>
              <a:outerShdw blurRad="76200" dist="38100" dir="5400000" rotWithShape="0">
                <a:srgbClr val="000000">
                  <a:alpha val="7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 prst="hardEdge"/>
            </a:sp3d>
          </c:spPr>
          <c:invertIfNegative val="0"/>
          <c:cat>
            <c:numRef>
              <c:f>'1 '!$B$26:$F$26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'1 '!$B$27:$F$27</c:f>
              <c:numCache>
                <c:formatCode>#,##0</c:formatCode>
                <c:ptCount val="5"/>
                <c:pt idx="0">
                  <c:v>331</c:v>
                </c:pt>
                <c:pt idx="1">
                  <c:v>372</c:v>
                </c:pt>
                <c:pt idx="2">
                  <c:v>300</c:v>
                </c:pt>
                <c:pt idx="3">
                  <c:v>343</c:v>
                </c:pt>
                <c:pt idx="4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0-4B8E-8178-2CEFB7C3E481}"/>
            </c:ext>
          </c:extLst>
        </c:ser>
        <c:ser>
          <c:idx val="0"/>
          <c:order val="2"/>
          <c:tx>
            <c:strRef>
              <c:f>'1 '!$A$28</c:f>
              <c:strCache>
                <c:ptCount val="1"/>
                <c:pt idx="0">
                  <c:v>Zahraničné/Foreign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6000"/>
                    <a:lumMod val="104000"/>
                  </a:schemeClr>
                </a:gs>
                <a:gs pos="100000">
                  <a:schemeClr val="accent1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76200" dist="38100" dir="5400000" rotWithShape="0">
                <a:srgbClr val="000000">
                  <a:alpha val="7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 prst="hardEdge"/>
            </a:sp3d>
          </c:spPr>
          <c:invertIfNegative val="0"/>
          <c:cat>
            <c:numRef>
              <c:f>'1 '!$B$26:$F$26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'1 '!$B$28:$F$28</c:f>
              <c:numCache>
                <c:formatCode>#,##0</c:formatCode>
                <c:ptCount val="5"/>
                <c:pt idx="0">
                  <c:v>65</c:v>
                </c:pt>
                <c:pt idx="1">
                  <c:v>47</c:v>
                </c:pt>
                <c:pt idx="2">
                  <c:v>59</c:v>
                </c:pt>
                <c:pt idx="3">
                  <c:v>69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40-4B8E-8178-2CEFB7C3E481}"/>
            </c:ext>
          </c:extLst>
        </c:ser>
        <c:ser>
          <c:idx val="3"/>
          <c:order val="3"/>
          <c:tx>
            <c:strRef>
              <c:f>'1 '!$A$29</c:f>
              <c:strCache>
                <c:ptCount val="1"/>
                <c:pt idx="0">
                  <c:v>Spolu / Total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6000"/>
                    <a:lumMod val="104000"/>
                  </a:schemeClr>
                </a:gs>
                <a:gs pos="100000">
                  <a:schemeClr val="accent4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76200" dist="38100" dir="5400000" rotWithShape="0">
                <a:srgbClr val="000000">
                  <a:alpha val="7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 prst="hardEdge"/>
            </a:sp3d>
          </c:spPr>
          <c:invertIfNegative val="0"/>
          <c:cat>
            <c:numRef>
              <c:f>'1 '!$B$26:$F$26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'1 '!$B$29:$F$29</c:f>
              <c:numCache>
                <c:formatCode>General</c:formatCode>
                <c:ptCount val="5"/>
                <c:pt idx="0">
                  <c:v>396</c:v>
                </c:pt>
                <c:pt idx="1">
                  <c:v>419</c:v>
                </c:pt>
                <c:pt idx="2">
                  <c:v>359</c:v>
                </c:pt>
                <c:pt idx="3">
                  <c:v>412</c:v>
                </c:pt>
                <c:pt idx="4">
                  <c:v>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40-4B8E-8178-2CEFB7C3E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5024896"/>
        <c:axId val="105034880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'1 '!$A$26</c15:sqref>
                        </c15:formulaRef>
                      </c:ext>
                    </c:extLst>
                    <c:strCache>
                      <c:ptCount val="1"/>
                      <c:pt idx="0">
                        <c:v>Prihlášky úžitkových vzorov / Utility model Applications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tint val="96000"/>
                          <a:lumMod val="104000"/>
                        </a:schemeClr>
                      </a:gs>
                      <a:gs pos="100000">
                        <a:schemeClr val="accent2">
                          <a:shade val="90000"/>
                          <a:lumMod val="9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76200" dist="38100" dir="5400000" rotWithShape="0">
                      <a:srgbClr val="000000">
                        <a:alpha val="7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 prst="hardEdge"/>
                  </a:sp3d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'1 '!$B$26:$F$26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'1 '!$B$26:$F$26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840-4B8E-8178-2CEFB7C3E481}"/>
                  </c:ext>
                </c:extLst>
              </c15:ser>
            </c15:filteredBarSeries>
          </c:ext>
        </c:extLst>
      </c:barChart>
      <c:catAx>
        <c:axId val="10502489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5034880"/>
        <c:crosses val="autoZero"/>
        <c:auto val="1"/>
        <c:lblAlgn val="ctr"/>
        <c:lblOffset val="100"/>
        <c:tickMarkSkip val="1"/>
        <c:noMultiLvlLbl val="0"/>
      </c:catAx>
      <c:valAx>
        <c:axId val="105034880"/>
        <c:scaling>
          <c:orientation val="minMax"/>
          <c:max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5024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Registered utility models
Zapísané úžitkové vzory</a:t>
            </a:r>
          </a:p>
        </c:rich>
      </c:tx>
      <c:layout>
        <c:manualLayout>
          <c:xMode val="edge"/>
          <c:yMode val="edge"/>
          <c:x val="0.32384369773453148"/>
          <c:y val="2.60586733679532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23250315240844024"/>
          <c:y val="0.19544005025964833"/>
          <c:w val="0.74258656280064317"/>
          <c:h val="0.50922978275923958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'1 '!$A$32</c:f>
              <c:strCache>
                <c:ptCount val="1"/>
                <c:pt idx="0">
                  <c:v>Domáce/Domestic</c:v>
                </c:pt>
              </c:strCache>
            </c:strRef>
          </c:tx>
          <c:spPr>
            <a:solidFill>
              <a:srgbClr val="62933D"/>
            </a:solidFill>
            <a:ln>
              <a:noFill/>
            </a:ln>
            <a:effectLst>
              <a:outerShdw blurRad="76200" dist="38100" dir="5400000" rotWithShape="0">
                <a:srgbClr val="000000">
                  <a:alpha val="7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 prst="hardEdge"/>
            </a:sp3d>
          </c:spPr>
          <c:invertIfNegative val="0"/>
          <c:cat>
            <c:numRef>
              <c:f>'1 '!$B$26:$F$26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('1 '!$B$32:$E$32,'1 '!$F$32)</c:f>
              <c:numCache>
                <c:formatCode>#,##0</c:formatCode>
                <c:ptCount val="5"/>
                <c:pt idx="0">
                  <c:v>283</c:v>
                </c:pt>
                <c:pt idx="1">
                  <c:v>261</c:v>
                </c:pt>
                <c:pt idx="2">
                  <c:v>322</c:v>
                </c:pt>
                <c:pt idx="3">
                  <c:v>246</c:v>
                </c:pt>
                <c:pt idx="4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A-44CA-BBC6-569006706C92}"/>
            </c:ext>
          </c:extLst>
        </c:ser>
        <c:ser>
          <c:idx val="2"/>
          <c:order val="2"/>
          <c:tx>
            <c:strRef>
              <c:f>'1 '!$A$33</c:f>
              <c:strCache>
                <c:ptCount val="1"/>
                <c:pt idx="0">
                  <c:v>Zahraničné/Foreign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76200" dist="38100" dir="5400000" rotWithShape="0">
                <a:srgbClr val="000000">
                  <a:alpha val="7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 prst="hardEdge"/>
            </a:sp3d>
          </c:spPr>
          <c:invertIfNegative val="0"/>
          <c:cat>
            <c:numRef>
              <c:f>'1 '!$B$26:$F$26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('1 '!$B$33:$E$33,'1 '!$F$33)</c:f>
              <c:numCache>
                <c:formatCode>#,##0</c:formatCode>
                <c:ptCount val="5"/>
                <c:pt idx="0">
                  <c:v>81</c:v>
                </c:pt>
                <c:pt idx="1">
                  <c:v>61</c:v>
                </c:pt>
                <c:pt idx="2">
                  <c:v>41</c:v>
                </c:pt>
                <c:pt idx="3">
                  <c:v>61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8A-44CA-BBC6-569006706C92}"/>
            </c:ext>
          </c:extLst>
        </c:ser>
        <c:ser>
          <c:idx val="3"/>
          <c:order val="3"/>
          <c:tx>
            <c:strRef>
              <c:f>'1 '!$A$34</c:f>
              <c:strCache>
                <c:ptCount val="1"/>
                <c:pt idx="0">
                  <c:v>Spolu / Total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6000"/>
                    <a:lumMod val="104000"/>
                  </a:schemeClr>
                </a:gs>
                <a:gs pos="100000">
                  <a:schemeClr val="accent4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76200" dist="38100" dir="5400000" rotWithShape="0">
                <a:srgbClr val="000000">
                  <a:alpha val="7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 prst="hardEdge"/>
            </a:sp3d>
          </c:spPr>
          <c:invertIfNegative val="0"/>
          <c:cat>
            <c:numRef>
              <c:f>'1 '!$B$26:$F$26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('1 '!$B$34:$E$34,'1 '!$F$34)</c:f>
              <c:numCache>
                <c:formatCode>General</c:formatCode>
                <c:ptCount val="5"/>
                <c:pt idx="0">
                  <c:v>364</c:v>
                </c:pt>
                <c:pt idx="1">
                  <c:v>322</c:v>
                </c:pt>
                <c:pt idx="2">
                  <c:v>363</c:v>
                </c:pt>
                <c:pt idx="3">
                  <c:v>307</c:v>
                </c:pt>
                <c:pt idx="4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8A-44CA-BBC6-569006706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5485312"/>
        <c:axId val="104993920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'1 '!$A$26</c15:sqref>
                        </c15:formulaRef>
                      </c:ext>
                    </c:extLst>
                    <c:strCache>
                      <c:ptCount val="1"/>
                      <c:pt idx="0">
                        <c:v>Prihlášky úžitkových vzorov / Utility model Applications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tint val="96000"/>
                          <a:lumMod val="104000"/>
                        </a:schemeClr>
                      </a:gs>
                      <a:gs pos="100000">
                        <a:schemeClr val="accent2">
                          <a:shade val="90000"/>
                          <a:lumMod val="9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76200" dist="38100" dir="5400000" rotWithShape="0">
                      <a:srgbClr val="000000">
                        <a:alpha val="7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 prst="hardEdge"/>
                  </a:sp3d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'1 '!$B$26:$F$26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('1 '!$B$26:$E$26,'1 '!$F$26)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E8A-44CA-BBC6-569006706C92}"/>
                  </c:ext>
                </c:extLst>
              </c15:ser>
            </c15:filteredBarSeries>
          </c:ext>
        </c:extLst>
      </c:barChart>
      <c:catAx>
        <c:axId val="9548531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4993920"/>
        <c:crosses val="autoZero"/>
        <c:auto val="1"/>
        <c:lblAlgn val="ctr"/>
        <c:lblOffset val="100"/>
        <c:tickMarkSkip val="1"/>
        <c:noMultiLvlLbl val="0"/>
      </c:catAx>
      <c:valAx>
        <c:axId val="10499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5485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18</Characters>
  <Application>Microsoft Office Word</Application>
  <DocSecurity>0</DocSecurity>
  <Lines>1</Lines>
  <Paragraphs>1</Paragraphs>
  <ScaleCrop>false</ScaleCrop>
  <Company>Úrad priemyselného vlastníctva SR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Hančuláková</dc:creator>
  <cp:keywords/>
  <dc:description/>
  <cp:lastModifiedBy>Mgr. Zuzana Hančuláková</cp:lastModifiedBy>
  <cp:revision>1</cp:revision>
  <dcterms:created xsi:type="dcterms:W3CDTF">2020-01-24T11:24:00Z</dcterms:created>
  <dcterms:modified xsi:type="dcterms:W3CDTF">2020-01-24T11:29:00Z</dcterms:modified>
</cp:coreProperties>
</file>